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A3A8" w14:textId="4F8EA990" w:rsidR="004B6041" w:rsidRPr="004412AD" w:rsidRDefault="00374B49" w:rsidP="000970B3">
      <w:pPr>
        <w:jc w:val="both"/>
        <w:rPr>
          <w:rFonts w:cstheme="minorHAnsi"/>
          <w:sz w:val="20"/>
          <w:szCs w:val="20"/>
        </w:rPr>
      </w:pPr>
      <w:r w:rsidRPr="00D61D41">
        <w:rPr>
          <w:b/>
          <w:sz w:val="20"/>
        </w:rPr>
        <w:t>Minimalne wymogi świadczenia usług holowniczych w Porcie Gdynia</w:t>
      </w:r>
      <w:r w:rsidR="00826D6B" w:rsidRPr="00D61D41">
        <w:rPr>
          <w:b/>
          <w:sz w:val="20"/>
        </w:rPr>
        <w:t xml:space="preserve"> </w:t>
      </w:r>
    </w:p>
    <w:p w14:paraId="1D08477F" w14:textId="64D28A8D" w:rsidR="00826D6B" w:rsidRPr="004412AD" w:rsidRDefault="00826D6B" w:rsidP="000A266D">
      <w:p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Zarząd Morskiego Portu Gdynia S.A. (</w:t>
      </w:r>
      <w:r w:rsidR="00993F34" w:rsidRPr="004412AD">
        <w:rPr>
          <w:rFonts w:cstheme="minorHAnsi"/>
          <w:sz w:val="20"/>
          <w:szCs w:val="20"/>
        </w:rPr>
        <w:t>dalej: „</w:t>
      </w:r>
      <w:r w:rsidRPr="004412AD">
        <w:rPr>
          <w:rFonts w:cstheme="minorHAnsi"/>
          <w:sz w:val="20"/>
          <w:szCs w:val="20"/>
        </w:rPr>
        <w:t>ZMPG</w:t>
      </w:r>
      <w:r w:rsidR="00993F34" w:rsidRPr="004412AD">
        <w:rPr>
          <w:rFonts w:cstheme="minorHAnsi"/>
          <w:sz w:val="20"/>
          <w:szCs w:val="20"/>
        </w:rPr>
        <w:t>”</w:t>
      </w:r>
      <w:r w:rsidRPr="004412AD">
        <w:rPr>
          <w:rFonts w:cstheme="minorHAnsi"/>
          <w:sz w:val="20"/>
          <w:szCs w:val="20"/>
        </w:rPr>
        <w:t xml:space="preserve">) organizuje usługi holowania jednostek zawijających do Portu Gdynia w celach handlowych zgodnie z zapisami </w:t>
      </w:r>
      <w:r w:rsidR="00783C94">
        <w:rPr>
          <w:rFonts w:cstheme="minorHAnsi"/>
          <w:sz w:val="20"/>
          <w:szCs w:val="20"/>
        </w:rPr>
        <w:t>r</w:t>
      </w:r>
      <w:r w:rsidRPr="004412AD">
        <w:rPr>
          <w:rFonts w:cstheme="minorHAnsi"/>
          <w:sz w:val="20"/>
          <w:szCs w:val="20"/>
        </w:rPr>
        <w:t xml:space="preserve">ozporządzenia Parlamentu Europejskiego i Rady (UE) 2017/352 z dnia 15 lutego 2017 r. </w:t>
      </w:r>
      <w:r w:rsidR="004E6195" w:rsidRPr="004E6195">
        <w:rPr>
          <w:rFonts w:cstheme="minorHAnsi"/>
          <w:sz w:val="20"/>
          <w:szCs w:val="20"/>
        </w:rPr>
        <w:t>ustanawiającego ramy w zakresie świadczenia usług portowych oraz wspólne zasady dotyczące przejrzystości finansowej portów (Dz. Urz. UE L 57 z 03.03.2017, str. 1)</w:t>
      </w:r>
      <w:r w:rsidR="00783C94">
        <w:rPr>
          <w:rFonts w:cstheme="minorHAnsi"/>
          <w:sz w:val="20"/>
          <w:szCs w:val="20"/>
        </w:rPr>
        <w:t xml:space="preserve"> (dalej: </w:t>
      </w:r>
      <w:r w:rsidR="008201B4">
        <w:rPr>
          <w:rFonts w:cstheme="minorHAnsi"/>
          <w:sz w:val="20"/>
          <w:szCs w:val="20"/>
        </w:rPr>
        <w:t>„R</w:t>
      </w:r>
      <w:r w:rsidR="00783C94">
        <w:rPr>
          <w:rFonts w:cstheme="minorHAnsi"/>
          <w:sz w:val="20"/>
          <w:szCs w:val="20"/>
        </w:rPr>
        <w:t>ozporządzenie”</w:t>
      </w:r>
      <w:r w:rsidR="002E4223">
        <w:rPr>
          <w:rFonts w:cstheme="minorHAnsi"/>
          <w:sz w:val="20"/>
          <w:szCs w:val="20"/>
        </w:rPr>
        <w:t>)</w:t>
      </w:r>
      <w:r w:rsidR="004E6195" w:rsidRPr="004E6195">
        <w:rPr>
          <w:rFonts w:cstheme="minorHAnsi"/>
          <w:sz w:val="20"/>
          <w:szCs w:val="20"/>
        </w:rPr>
        <w:t xml:space="preserve"> </w:t>
      </w:r>
      <w:r w:rsidRPr="004412AD">
        <w:rPr>
          <w:rFonts w:cstheme="minorHAnsi"/>
          <w:sz w:val="20"/>
          <w:szCs w:val="20"/>
        </w:rPr>
        <w:t>oraz ustawy z dnia 20 grudnia 1996r. o portach i przystaniach morskich (</w:t>
      </w:r>
      <w:proofErr w:type="spellStart"/>
      <w:r w:rsidRPr="004412AD">
        <w:rPr>
          <w:rFonts w:cstheme="minorHAnsi"/>
          <w:sz w:val="20"/>
          <w:szCs w:val="20"/>
        </w:rPr>
        <w:t>t.j</w:t>
      </w:r>
      <w:proofErr w:type="spellEnd"/>
      <w:r w:rsidRPr="004412AD">
        <w:rPr>
          <w:rFonts w:cstheme="minorHAnsi"/>
          <w:sz w:val="20"/>
          <w:szCs w:val="20"/>
        </w:rPr>
        <w:t>. Dz. U. 2021 poz. 491)</w:t>
      </w:r>
      <w:r w:rsidR="008201B4">
        <w:rPr>
          <w:rFonts w:cstheme="minorHAnsi"/>
          <w:sz w:val="20"/>
          <w:szCs w:val="20"/>
        </w:rPr>
        <w:t xml:space="preserve"> (dalej: „U</w:t>
      </w:r>
      <w:r w:rsidR="00783C94">
        <w:rPr>
          <w:rFonts w:cstheme="minorHAnsi"/>
          <w:sz w:val="20"/>
          <w:szCs w:val="20"/>
        </w:rPr>
        <w:t>stawa”)</w:t>
      </w:r>
      <w:r w:rsidRPr="004412AD">
        <w:rPr>
          <w:rFonts w:cstheme="minorHAnsi"/>
          <w:sz w:val="20"/>
          <w:szCs w:val="20"/>
        </w:rPr>
        <w:t xml:space="preserve"> poprzez </w:t>
      </w:r>
      <w:r w:rsidR="00227A1D" w:rsidRPr="004412AD">
        <w:rPr>
          <w:rFonts w:cstheme="minorHAnsi"/>
          <w:sz w:val="20"/>
          <w:szCs w:val="20"/>
        </w:rPr>
        <w:t>wprowadzenie</w:t>
      </w:r>
      <w:r w:rsidRPr="004412AD">
        <w:rPr>
          <w:rFonts w:cstheme="minorHAnsi"/>
          <w:sz w:val="20"/>
          <w:szCs w:val="20"/>
        </w:rPr>
        <w:t xml:space="preserve"> niniejszych Minimalnych Wymogów Świadczenia Usług Holowniczych w Porcie Gdynia.  </w:t>
      </w:r>
    </w:p>
    <w:p w14:paraId="78C1241D" w14:textId="60DE8BBB" w:rsidR="00826D6B" w:rsidRPr="00D61D41" w:rsidRDefault="00A552D4" w:rsidP="00826D6B">
      <w:pPr>
        <w:jc w:val="both"/>
        <w:rPr>
          <w:sz w:val="20"/>
        </w:rPr>
      </w:pPr>
      <w:r w:rsidRPr="00D61D41">
        <w:rPr>
          <w:sz w:val="20"/>
        </w:rPr>
        <w:t xml:space="preserve">Warunkiem </w:t>
      </w:r>
      <w:r w:rsidR="00826D6B" w:rsidRPr="00D61D41">
        <w:rPr>
          <w:sz w:val="20"/>
        </w:rPr>
        <w:t>świad</w:t>
      </w:r>
      <w:r w:rsidRPr="00D61D41">
        <w:rPr>
          <w:sz w:val="20"/>
        </w:rPr>
        <w:t>czenia</w:t>
      </w:r>
      <w:r w:rsidR="00826D6B" w:rsidRPr="00D61D41">
        <w:rPr>
          <w:sz w:val="20"/>
        </w:rPr>
        <w:t xml:space="preserve"> usług holowania jednostek zawijających do Portu Gdynia w celach handlowych</w:t>
      </w:r>
      <w:r w:rsidRPr="00D61D41">
        <w:rPr>
          <w:sz w:val="20"/>
        </w:rPr>
        <w:t xml:space="preserve"> przez przedsiębiorców (</w:t>
      </w:r>
      <w:r w:rsidR="0083280D">
        <w:rPr>
          <w:sz w:val="20"/>
        </w:rPr>
        <w:t>dalej: „</w:t>
      </w:r>
      <w:r w:rsidRPr="00D61D41">
        <w:rPr>
          <w:sz w:val="20"/>
        </w:rPr>
        <w:t>Usługodawców</w:t>
      </w:r>
      <w:r w:rsidR="0083280D">
        <w:rPr>
          <w:sz w:val="20"/>
        </w:rPr>
        <w:t>” lub z osobna „Usługodawca”</w:t>
      </w:r>
      <w:r w:rsidRPr="00D61D41">
        <w:rPr>
          <w:sz w:val="20"/>
        </w:rPr>
        <w:t>)</w:t>
      </w:r>
      <w:r w:rsidR="00826D6B" w:rsidRPr="00D61D41">
        <w:rPr>
          <w:sz w:val="20"/>
        </w:rPr>
        <w:t xml:space="preserve"> </w:t>
      </w:r>
      <w:r w:rsidRPr="00D61D41">
        <w:rPr>
          <w:sz w:val="20"/>
        </w:rPr>
        <w:t>jest spełnianie</w:t>
      </w:r>
      <w:r w:rsidR="00826D6B" w:rsidRPr="00D61D41">
        <w:rPr>
          <w:sz w:val="20"/>
        </w:rPr>
        <w:t xml:space="preserve"> niniejsz</w:t>
      </w:r>
      <w:r w:rsidRPr="00D61D41">
        <w:rPr>
          <w:sz w:val="20"/>
        </w:rPr>
        <w:t>ych</w:t>
      </w:r>
      <w:r w:rsidR="00826D6B" w:rsidRPr="00D61D41">
        <w:rPr>
          <w:sz w:val="20"/>
        </w:rPr>
        <w:t xml:space="preserve"> Minimaln</w:t>
      </w:r>
      <w:r w:rsidRPr="00D61D41">
        <w:rPr>
          <w:sz w:val="20"/>
        </w:rPr>
        <w:t>ych</w:t>
      </w:r>
      <w:r w:rsidR="00826D6B" w:rsidRPr="00D61D41">
        <w:rPr>
          <w:sz w:val="20"/>
        </w:rPr>
        <w:t xml:space="preserve"> Wymog</w:t>
      </w:r>
      <w:r w:rsidRPr="00D61D41">
        <w:rPr>
          <w:sz w:val="20"/>
        </w:rPr>
        <w:t>ów</w:t>
      </w:r>
      <w:r w:rsidR="00826D6B" w:rsidRPr="00D61D41">
        <w:rPr>
          <w:sz w:val="20"/>
        </w:rPr>
        <w:t xml:space="preserve"> Świadczenia Usług Holowniczych w Porcie Gdynia i zaw</w:t>
      </w:r>
      <w:r w:rsidRPr="00D61D41">
        <w:rPr>
          <w:sz w:val="20"/>
        </w:rPr>
        <w:t>arcie</w:t>
      </w:r>
      <w:r w:rsidR="00826D6B" w:rsidRPr="00D61D41">
        <w:rPr>
          <w:sz w:val="20"/>
        </w:rPr>
        <w:t xml:space="preserve"> z ZMPG stosown</w:t>
      </w:r>
      <w:r w:rsidRPr="00D61D41">
        <w:rPr>
          <w:sz w:val="20"/>
        </w:rPr>
        <w:t>ej</w:t>
      </w:r>
      <w:r w:rsidR="00826D6B" w:rsidRPr="00D61D41">
        <w:rPr>
          <w:sz w:val="20"/>
        </w:rPr>
        <w:t xml:space="preserve"> umow</w:t>
      </w:r>
      <w:r w:rsidRPr="00D61D41">
        <w:rPr>
          <w:sz w:val="20"/>
        </w:rPr>
        <w:t>y</w:t>
      </w:r>
      <w:r w:rsidR="00826D6B" w:rsidRPr="00D61D41">
        <w:rPr>
          <w:sz w:val="20"/>
        </w:rPr>
        <w:t xml:space="preserve">. </w:t>
      </w:r>
      <w:r w:rsidR="001633E5">
        <w:rPr>
          <w:sz w:val="20"/>
        </w:rPr>
        <w:t>Niniejsze Minimalne Wymogi</w:t>
      </w:r>
      <w:r w:rsidR="001633E5" w:rsidRPr="00D61D41">
        <w:rPr>
          <w:sz w:val="20"/>
        </w:rPr>
        <w:t xml:space="preserve"> </w:t>
      </w:r>
      <w:r w:rsidR="001633E5" w:rsidRPr="00426D5D">
        <w:rPr>
          <w:bCs/>
          <w:sz w:val="20"/>
        </w:rPr>
        <w:t xml:space="preserve">świadczenia usług holowniczych w Porcie Gdynia </w:t>
      </w:r>
      <w:r w:rsidR="001633E5">
        <w:rPr>
          <w:bCs/>
          <w:sz w:val="20"/>
        </w:rPr>
        <w:t xml:space="preserve">nie obowiązują przedsiębiorców </w:t>
      </w:r>
      <w:r w:rsidR="001633E5">
        <w:rPr>
          <w:bCs/>
          <w:sz w:val="20"/>
        </w:rPr>
        <w:br/>
        <w:t>w przypadku holowania jednostek niehandlowych typu: ponton, barka, kadłub itp.</w:t>
      </w:r>
      <w:r w:rsidR="00826D6B" w:rsidRPr="00D61D41">
        <w:rPr>
          <w:sz w:val="20"/>
        </w:rPr>
        <w:t xml:space="preserve"> </w:t>
      </w:r>
    </w:p>
    <w:p w14:paraId="3ECD8F0B" w14:textId="25A26AD7" w:rsidR="00A44015" w:rsidRPr="004412AD" w:rsidRDefault="004B6041" w:rsidP="00017AFB">
      <w:p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Zainteresowani </w:t>
      </w:r>
      <w:r w:rsidR="00B91B45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 xml:space="preserve">sługodawcy zgłaszają do </w:t>
      </w:r>
      <w:r w:rsidR="006E20B8" w:rsidRPr="004412AD">
        <w:rPr>
          <w:rFonts w:cstheme="minorHAnsi"/>
          <w:sz w:val="20"/>
          <w:szCs w:val="20"/>
        </w:rPr>
        <w:t>ZMPG</w:t>
      </w:r>
      <w:r w:rsidRPr="004412AD">
        <w:rPr>
          <w:rFonts w:cstheme="minorHAnsi"/>
          <w:sz w:val="20"/>
          <w:szCs w:val="20"/>
        </w:rPr>
        <w:t xml:space="preserve"> swoje </w:t>
      </w:r>
      <w:r w:rsidR="00A44015" w:rsidRPr="004412AD">
        <w:rPr>
          <w:rFonts w:cstheme="minorHAnsi"/>
          <w:sz w:val="20"/>
          <w:szCs w:val="20"/>
        </w:rPr>
        <w:t>wnioski</w:t>
      </w:r>
      <w:r w:rsidR="00B93AB3" w:rsidRPr="004412AD">
        <w:rPr>
          <w:rFonts w:cstheme="minorHAnsi"/>
          <w:sz w:val="20"/>
          <w:szCs w:val="20"/>
        </w:rPr>
        <w:t>,</w:t>
      </w:r>
      <w:r w:rsidR="000A266D" w:rsidRPr="004412AD">
        <w:rPr>
          <w:rFonts w:cstheme="minorHAnsi"/>
          <w:sz w:val="20"/>
          <w:szCs w:val="20"/>
        </w:rPr>
        <w:t xml:space="preserve"> n</w:t>
      </w:r>
      <w:r w:rsidR="00A44015" w:rsidRPr="004412AD">
        <w:rPr>
          <w:rFonts w:cstheme="minorHAnsi"/>
          <w:sz w:val="20"/>
          <w:szCs w:val="20"/>
        </w:rPr>
        <w:t xml:space="preserve">a podstawie </w:t>
      </w:r>
      <w:r w:rsidR="000A266D" w:rsidRPr="004412AD">
        <w:rPr>
          <w:rFonts w:cstheme="minorHAnsi"/>
          <w:sz w:val="20"/>
          <w:szCs w:val="20"/>
        </w:rPr>
        <w:t>których</w:t>
      </w:r>
      <w:r w:rsidR="00A44015" w:rsidRPr="004412AD">
        <w:rPr>
          <w:rFonts w:cstheme="minorHAnsi"/>
          <w:sz w:val="20"/>
          <w:szCs w:val="20"/>
        </w:rPr>
        <w:t xml:space="preserve"> ZMPG będzie podejmował decyzję</w:t>
      </w:r>
      <w:r w:rsidR="0083280D">
        <w:rPr>
          <w:rFonts w:cstheme="minorHAnsi"/>
          <w:sz w:val="20"/>
          <w:szCs w:val="20"/>
        </w:rPr>
        <w:t xml:space="preserve"> </w:t>
      </w:r>
      <w:r w:rsidR="00B91B45">
        <w:rPr>
          <w:rFonts w:cstheme="minorHAnsi"/>
          <w:sz w:val="20"/>
          <w:szCs w:val="20"/>
        </w:rPr>
        <w:t>o przyznaniu im</w:t>
      </w:r>
      <w:r w:rsidR="00B91B45" w:rsidRPr="00B91B45">
        <w:rPr>
          <w:rFonts w:cstheme="minorHAnsi"/>
          <w:sz w:val="20"/>
          <w:szCs w:val="20"/>
        </w:rPr>
        <w:t xml:space="preserve"> prawa do świadczenia usług holowniczych w Porcie Gdynia</w:t>
      </w:r>
      <w:r w:rsidR="00B91B45">
        <w:rPr>
          <w:rFonts w:cstheme="minorHAnsi"/>
          <w:sz w:val="20"/>
          <w:szCs w:val="20"/>
        </w:rPr>
        <w:t xml:space="preserve"> i zawarciu umowy.</w:t>
      </w:r>
    </w:p>
    <w:p w14:paraId="3D71C2BB" w14:textId="4704C63F" w:rsidR="00A44015" w:rsidRPr="004412AD" w:rsidRDefault="00A44015" w:rsidP="004B6041">
      <w:pPr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We wnioskach zainteresowani </w:t>
      </w:r>
      <w:r w:rsidR="00B91B45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>sługodawcy powinni:</w:t>
      </w:r>
    </w:p>
    <w:p w14:paraId="035E2861" w14:textId="7D51A511" w:rsidR="00A44015" w:rsidRPr="004412AD" w:rsidRDefault="004B6041" w:rsidP="0064041C">
      <w:pPr>
        <w:pStyle w:val="Akapitzlist"/>
        <w:numPr>
          <w:ilvl w:val="0"/>
          <w:numId w:val="13"/>
        </w:numPr>
        <w:ind w:left="567" w:hanging="425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opis</w:t>
      </w:r>
      <w:r w:rsidR="00A44015" w:rsidRPr="004412AD">
        <w:rPr>
          <w:rFonts w:cstheme="minorHAnsi"/>
          <w:sz w:val="20"/>
          <w:szCs w:val="20"/>
        </w:rPr>
        <w:t>ać</w:t>
      </w:r>
      <w:r w:rsidRPr="004412AD">
        <w:rPr>
          <w:rFonts w:cstheme="minorHAnsi"/>
          <w:sz w:val="20"/>
          <w:szCs w:val="20"/>
        </w:rPr>
        <w:t xml:space="preserve"> sposób</w:t>
      </w:r>
      <w:r w:rsidR="00D86606" w:rsidRPr="004412AD">
        <w:rPr>
          <w:rFonts w:cstheme="minorHAnsi"/>
          <w:sz w:val="20"/>
          <w:szCs w:val="20"/>
        </w:rPr>
        <w:t>, w jaki planują zorganizować świadczenie swoich usług</w:t>
      </w:r>
      <w:r w:rsidRPr="004412AD">
        <w:rPr>
          <w:rFonts w:cstheme="minorHAnsi"/>
          <w:sz w:val="20"/>
          <w:szCs w:val="20"/>
        </w:rPr>
        <w:t xml:space="preserve"> w Porcie Gdynia</w:t>
      </w:r>
      <w:r w:rsidR="00C92D8C" w:rsidRPr="004412AD">
        <w:rPr>
          <w:rFonts w:cstheme="minorHAnsi"/>
          <w:sz w:val="20"/>
          <w:szCs w:val="20"/>
        </w:rPr>
        <w:t>,</w:t>
      </w:r>
    </w:p>
    <w:p w14:paraId="4FDAE8A9" w14:textId="295A03D4" w:rsidR="00A44015" w:rsidRPr="004412AD" w:rsidRDefault="005C02FD" w:rsidP="0064041C">
      <w:pPr>
        <w:pStyle w:val="Akapitzlist"/>
        <w:numPr>
          <w:ilvl w:val="0"/>
          <w:numId w:val="13"/>
        </w:numPr>
        <w:ind w:left="567" w:hanging="425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złożyć </w:t>
      </w:r>
      <w:r w:rsidR="00A44015" w:rsidRPr="004412AD">
        <w:rPr>
          <w:rFonts w:cstheme="minorHAnsi"/>
          <w:sz w:val="20"/>
          <w:szCs w:val="20"/>
        </w:rPr>
        <w:t>oświadcz</w:t>
      </w:r>
      <w:r w:rsidRPr="004412AD">
        <w:rPr>
          <w:rFonts w:cstheme="minorHAnsi"/>
          <w:sz w:val="20"/>
          <w:szCs w:val="20"/>
        </w:rPr>
        <w:t>enie</w:t>
      </w:r>
      <w:r w:rsidR="00A44015" w:rsidRPr="004412AD">
        <w:rPr>
          <w:rFonts w:cstheme="minorHAnsi"/>
          <w:sz w:val="20"/>
          <w:szCs w:val="20"/>
        </w:rPr>
        <w:t>, że</w:t>
      </w:r>
      <w:r w:rsidR="004B6041" w:rsidRPr="004412AD">
        <w:rPr>
          <w:rFonts w:cstheme="minorHAnsi"/>
          <w:sz w:val="20"/>
          <w:szCs w:val="20"/>
        </w:rPr>
        <w:t xml:space="preserve"> </w:t>
      </w:r>
      <w:r w:rsidR="00F51DDF">
        <w:rPr>
          <w:rFonts w:cstheme="minorHAnsi"/>
          <w:sz w:val="20"/>
          <w:szCs w:val="20"/>
        </w:rPr>
        <w:t>oni i ich podwykonawcy</w:t>
      </w:r>
      <w:r w:rsidR="00A44015" w:rsidRPr="004412AD">
        <w:rPr>
          <w:rFonts w:cstheme="minorHAnsi"/>
          <w:sz w:val="20"/>
          <w:szCs w:val="20"/>
        </w:rPr>
        <w:t xml:space="preserve"> </w:t>
      </w:r>
      <w:r w:rsidR="006335CD" w:rsidRPr="00EE01F0">
        <w:rPr>
          <w:rFonts w:cstheme="minorHAnsi"/>
          <w:sz w:val="20"/>
          <w:szCs w:val="20"/>
        </w:rPr>
        <w:t>(wraz ze wskazaniem tych podwykonawców)</w:t>
      </w:r>
      <w:r w:rsidR="006335CD" w:rsidRPr="006335CD">
        <w:rPr>
          <w:rFonts w:cstheme="minorHAnsi"/>
          <w:sz w:val="20"/>
          <w:szCs w:val="20"/>
        </w:rPr>
        <w:t xml:space="preserve"> </w:t>
      </w:r>
      <w:r w:rsidR="004B6041" w:rsidRPr="004412AD">
        <w:rPr>
          <w:rFonts w:cstheme="minorHAnsi"/>
          <w:sz w:val="20"/>
          <w:szCs w:val="20"/>
        </w:rPr>
        <w:t>spełnia</w:t>
      </w:r>
      <w:r w:rsidR="00A44015" w:rsidRPr="004412AD">
        <w:rPr>
          <w:rFonts w:cstheme="minorHAnsi"/>
          <w:sz w:val="20"/>
          <w:szCs w:val="20"/>
        </w:rPr>
        <w:t>ją</w:t>
      </w:r>
      <w:r w:rsidR="004B6041" w:rsidRPr="004412AD">
        <w:rPr>
          <w:rFonts w:cstheme="minorHAnsi"/>
          <w:sz w:val="20"/>
          <w:szCs w:val="20"/>
        </w:rPr>
        <w:t xml:space="preserve"> </w:t>
      </w:r>
      <w:r w:rsidRPr="004412AD">
        <w:rPr>
          <w:rFonts w:cstheme="minorHAnsi"/>
          <w:sz w:val="20"/>
          <w:szCs w:val="20"/>
        </w:rPr>
        <w:t xml:space="preserve">niniejsze </w:t>
      </w:r>
      <w:r w:rsidR="004B6041" w:rsidRPr="004412AD">
        <w:rPr>
          <w:rFonts w:cstheme="minorHAnsi"/>
          <w:sz w:val="20"/>
          <w:szCs w:val="20"/>
        </w:rPr>
        <w:t>minimaln</w:t>
      </w:r>
      <w:r w:rsidR="00A44015" w:rsidRPr="004412AD">
        <w:rPr>
          <w:rFonts w:cstheme="minorHAnsi"/>
          <w:sz w:val="20"/>
          <w:szCs w:val="20"/>
        </w:rPr>
        <w:t>e</w:t>
      </w:r>
      <w:r w:rsidR="004B6041" w:rsidRPr="004412AD">
        <w:rPr>
          <w:rFonts w:cstheme="minorHAnsi"/>
          <w:sz w:val="20"/>
          <w:szCs w:val="20"/>
        </w:rPr>
        <w:t xml:space="preserve"> wymog</w:t>
      </w:r>
      <w:r w:rsidR="00A44015" w:rsidRPr="004412AD">
        <w:rPr>
          <w:rFonts w:cstheme="minorHAnsi"/>
          <w:sz w:val="20"/>
          <w:szCs w:val="20"/>
        </w:rPr>
        <w:t>i</w:t>
      </w:r>
      <w:r w:rsidR="00C92D8C" w:rsidRPr="004412AD">
        <w:rPr>
          <w:rFonts w:cstheme="minorHAnsi"/>
          <w:sz w:val="20"/>
          <w:szCs w:val="20"/>
        </w:rPr>
        <w:t xml:space="preserve">, </w:t>
      </w:r>
    </w:p>
    <w:p w14:paraId="7155A995" w14:textId="3DC12FCD" w:rsidR="00D86606" w:rsidRPr="004412AD" w:rsidRDefault="00A44015" w:rsidP="0064041C">
      <w:pPr>
        <w:pStyle w:val="Akapitzlist"/>
        <w:numPr>
          <w:ilvl w:val="0"/>
          <w:numId w:val="13"/>
        </w:numPr>
        <w:ind w:left="567" w:hanging="425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udo</w:t>
      </w:r>
      <w:r w:rsidR="004B6041" w:rsidRPr="004412AD">
        <w:rPr>
          <w:rFonts w:cstheme="minorHAnsi"/>
          <w:sz w:val="20"/>
          <w:szCs w:val="20"/>
        </w:rPr>
        <w:t>kument</w:t>
      </w:r>
      <w:r w:rsidRPr="004412AD">
        <w:rPr>
          <w:rFonts w:cstheme="minorHAnsi"/>
          <w:sz w:val="20"/>
          <w:szCs w:val="20"/>
        </w:rPr>
        <w:t>ować</w:t>
      </w:r>
      <w:r w:rsidR="004B6041" w:rsidRPr="004412AD">
        <w:rPr>
          <w:rFonts w:cstheme="minorHAnsi"/>
          <w:sz w:val="20"/>
          <w:szCs w:val="20"/>
        </w:rPr>
        <w:t xml:space="preserve"> spełnianie </w:t>
      </w:r>
      <w:r w:rsidRPr="004412AD">
        <w:rPr>
          <w:rFonts w:cstheme="minorHAnsi"/>
          <w:sz w:val="20"/>
          <w:szCs w:val="20"/>
        </w:rPr>
        <w:t xml:space="preserve">przez nich i ich </w:t>
      </w:r>
      <w:r w:rsidR="00D86606" w:rsidRPr="004412AD">
        <w:rPr>
          <w:rFonts w:cstheme="minorHAnsi"/>
          <w:sz w:val="20"/>
          <w:szCs w:val="20"/>
        </w:rPr>
        <w:t xml:space="preserve">podwykonawców </w:t>
      </w:r>
      <w:r w:rsidR="00C47B12" w:rsidRPr="004412AD">
        <w:rPr>
          <w:rFonts w:cstheme="minorHAnsi"/>
          <w:sz w:val="20"/>
          <w:szCs w:val="20"/>
        </w:rPr>
        <w:t xml:space="preserve">niniejszych </w:t>
      </w:r>
      <w:r w:rsidR="004B6041" w:rsidRPr="004412AD">
        <w:rPr>
          <w:rFonts w:cstheme="minorHAnsi"/>
          <w:sz w:val="20"/>
          <w:szCs w:val="20"/>
        </w:rPr>
        <w:t xml:space="preserve">minimalnych wymogów </w:t>
      </w:r>
      <w:r w:rsidR="000970B3" w:rsidRPr="004412AD">
        <w:rPr>
          <w:rFonts w:cstheme="minorHAnsi"/>
          <w:sz w:val="20"/>
          <w:szCs w:val="20"/>
        </w:rPr>
        <w:br/>
      </w:r>
      <w:r w:rsidR="00D86606" w:rsidRPr="004412AD">
        <w:rPr>
          <w:rFonts w:cstheme="minorHAnsi"/>
          <w:sz w:val="20"/>
          <w:szCs w:val="20"/>
        </w:rPr>
        <w:t>poprzez</w:t>
      </w:r>
      <w:r w:rsidR="004B6041" w:rsidRPr="004412AD">
        <w:rPr>
          <w:rFonts w:cstheme="minorHAnsi"/>
          <w:sz w:val="20"/>
          <w:szCs w:val="20"/>
        </w:rPr>
        <w:t xml:space="preserve"> załączeni</w:t>
      </w:r>
      <w:r w:rsidR="00D86606" w:rsidRPr="004412AD">
        <w:rPr>
          <w:rFonts w:cstheme="minorHAnsi"/>
          <w:sz w:val="20"/>
          <w:szCs w:val="20"/>
        </w:rPr>
        <w:t>e</w:t>
      </w:r>
      <w:r w:rsidR="004B6041" w:rsidRPr="004412AD">
        <w:rPr>
          <w:rFonts w:cstheme="minorHAnsi"/>
          <w:sz w:val="20"/>
          <w:szCs w:val="20"/>
        </w:rPr>
        <w:t xml:space="preserve"> stosownych dokumentów</w:t>
      </w:r>
      <w:r w:rsidR="00D86606" w:rsidRPr="004412AD">
        <w:rPr>
          <w:rFonts w:cstheme="minorHAnsi"/>
          <w:sz w:val="20"/>
          <w:szCs w:val="20"/>
        </w:rPr>
        <w:t xml:space="preserve">. </w:t>
      </w:r>
    </w:p>
    <w:p w14:paraId="338CDFB4" w14:textId="7C1A3E1A" w:rsidR="00387F3A" w:rsidRPr="00D61D41" w:rsidRDefault="00425016" w:rsidP="00374B49">
      <w:pPr>
        <w:jc w:val="both"/>
        <w:rPr>
          <w:sz w:val="20"/>
        </w:rPr>
      </w:pPr>
      <w:r w:rsidRPr="00D61D41">
        <w:rPr>
          <w:sz w:val="20"/>
        </w:rPr>
        <w:t>Usługodawca</w:t>
      </w:r>
      <w:r w:rsidR="000829F9" w:rsidRPr="00D61D41">
        <w:rPr>
          <w:sz w:val="20"/>
        </w:rPr>
        <w:t>, któr</w:t>
      </w:r>
      <w:r w:rsidR="00EF0E6A" w:rsidRPr="00D61D41">
        <w:rPr>
          <w:sz w:val="20"/>
        </w:rPr>
        <w:t>y</w:t>
      </w:r>
      <w:r w:rsidR="000829F9" w:rsidRPr="00D61D41">
        <w:rPr>
          <w:sz w:val="20"/>
        </w:rPr>
        <w:t xml:space="preserve"> rozpocznie realizację usług holowniczych</w:t>
      </w:r>
      <w:r w:rsidR="00FB22AF" w:rsidRPr="004412AD">
        <w:rPr>
          <w:rFonts w:cstheme="minorHAnsi"/>
          <w:sz w:val="20"/>
          <w:szCs w:val="20"/>
        </w:rPr>
        <w:t xml:space="preserve"> jednostek zawijających do Portu Gdynia w celach handlowych</w:t>
      </w:r>
      <w:r w:rsidR="00FB22AF" w:rsidRPr="00D61D41">
        <w:rPr>
          <w:sz w:val="20"/>
        </w:rPr>
        <w:t xml:space="preserve"> </w:t>
      </w:r>
      <w:r w:rsidRPr="00D61D41">
        <w:rPr>
          <w:sz w:val="20"/>
        </w:rPr>
        <w:t xml:space="preserve">ponosi odpowiedzialność wobec ZMPG i/lub osób trzecich za wszelkie szkody spowodowane </w:t>
      </w:r>
      <w:r w:rsidR="00001E16" w:rsidRPr="00D61D41">
        <w:rPr>
          <w:sz w:val="20"/>
        </w:rPr>
        <w:t>swoją działalnością</w:t>
      </w:r>
      <w:r w:rsidRPr="00D61D41">
        <w:rPr>
          <w:sz w:val="20"/>
        </w:rPr>
        <w:t xml:space="preserve">. ZMPG nie ponosi odpowiedzialności za jakiekolwiek szkody spowodowane działalnością </w:t>
      </w:r>
      <w:r w:rsidR="00B91B45">
        <w:rPr>
          <w:sz w:val="20"/>
        </w:rPr>
        <w:t>U</w:t>
      </w:r>
      <w:r w:rsidRPr="00D61D41">
        <w:rPr>
          <w:sz w:val="20"/>
        </w:rPr>
        <w:t>sługodawcy wobec podwykonawców, klientów zamawiających usługi lub innych</w:t>
      </w:r>
      <w:r w:rsidR="00001E16" w:rsidRPr="00D61D41">
        <w:rPr>
          <w:sz w:val="20"/>
        </w:rPr>
        <w:t xml:space="preserve"> podmiotów</w:t>
      </w:r>
      <w:r w:rsidRPr="00D61D41">
        <w:rPr>
          <w:sz w:val="20"/>
        </w:rPr>
        <w:t xml:space="preserve">. Usługodawca ponosi pełną odpowiedzialność za swoich podwykonawców i zobowiązuje się do zapewnienia, że podwykonawcy ci stosują się do procedur, które ich obowiązują. </w:t>
      </w:r>
    </w:p>
    <w:p w14:paraId="459131A5" w14:textId="3522A4FE" w:rsidR="00734637" w:rsidRPr="00D61D41" w:rsidRDefault="00960EA0" w:rsidP="00374B49">
      <w:pPr>
        <w:jc w:val="both"/>
        <w:rPr>
          <w:b/>
          <w:sz w:val="20"/>
        </w:rPr>
      </w:pPr>
      <w:r w:rsidRPr="00D61D41">
        <w:rPr>
          <w:b/>
          <w:sz w:val="20"/>
        </w:rPr>
        <w:t xml:space="preserve">Ogólne minimalne wymogi dotyczące </w:t>
      </w:r>
      <w:r w:rsidR="00B91B45">
        <w:rPr>
          <w:b/>
          <w:sz w:val="20"/>
        </w:rPr>
        <w:t>U</w:t>
      </w:r>
      <w:r w:rsidRPr="00D61D41">
        <w:rPr>
          <w:b/>
          <w:sz w:val="20"/>
        </w:rPr>
        <w:t>sługodawcy</w:t>
      </w:r>
      <w:r w:rsidR="00F94B5B" w:rsidRPr="00D61D41">
        <w:rPr>
          <w:b/>
          <w:sz w:val="20"/>
        </w:rPr>
        <w:t>:</w:t>
      </w:r>
    </w:p>
    <w:p w14:paraId="06AD32ED" w14:textId="0406984C" w:rsidR="00F94B5B" w:rsidRPr="004412AD" w:rsidRDefault="00387F3A" w:rsidP="00374B49">
      <w:p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Usługodawca </w:t>
      </w:r>
      <w:r w:rsidR="00D86606" w:rsidRPr="004412AD">
        <w:rPr>
          <w:rFonts w:cstheme="minorHAnsi"/>
          <w:sz w:val="20"/>
          <w:szCs w:val="20"/>
        </w:rPr>
        <w:t>powinien</w:t>
      </w:r>
      <w:r w:rsidR="00960EA0" w:rsidRPr="004412AD">
        <w:rPr>
          <w:rFonts w:cstheme="minorHAnsi"/>
          <w:sz w:val="20"/>
          <w:szCs w:val="20"/>
        </w:rPr>
        <w:t xml:space="preserve"> cieszyć się dobrą reputacją i przestrzegać obowiązującego prawa. Usługodawca </w:t>
      </w:r>
      <w:r w:rsidR="00D86606" w:rsidRPr="004412AD">
        <w:rPr>
          <w:rFonts w:cstheme="minorHAnsi"/>
          <w:sz w:val="20"/>
          <w:szCs w:val="20"/>
        </w:rPr>
        <w:t>powinien</w:t>
      </w:r>
      <w:r w:rsidRPr="004412AD">
        <w:rPr>
          <w:rFonts w:cstheme="minorHAnsi"/>
          <w:sz w:val="20"/>
          <w:szCs w:val="20"/>
        </w:rPr>
        <w:t xml:space="preserve"> być przedsiębiorcą wpisanym do Ewidencji Działalności Gospodarczej, rejestru przedsiębiorców Krajowego Rejestru Sądowego bądź do właściwego rejestru gospodarczego obowiązującego w państwie członkowskim Unii Europejskiej oraz</w:t>
      </w:r>
      <w:r w:rsidR="00AF3E15" w:rsidRPr="004412AD">
        <w:rPr>
          <w:rFonts w:cstheme="minorHAnsi"/>
          <w:sz w:val="20"/>
          <w:szCs w:val="20"/>
        </w:rPr>
        <w:t xml:space="preserve"> być</w:t>
      </w:r>
      <w:r w:rsidRPr="004412AD">
        <w:rPr>
          <w:rFonts w:cstheme="minorHAnsi"/>
          <w:sz w:val="20"/>
          <w:szCs w:val="20"/>
        </w:rPr>
        <w:t xml:space="preserve"> płatnikiem VAT</w:t>
      </w:r>
      <w:r w:rsidR="00271367" w:rsidRPr="00D61D41">
        <w:rPr>
          <w:sz w:val="20"/>
        </w:rPr>
        <w:t xml:space="preserve">. </w:t>
      </w:r>
      <w:r w:rsidR="00271367" w:rsidRPr="004412AD">
        <w:rPr>
          <w:rFonts w:cstheme="minorHAnsi"/>
          <w:sz w:val="20"/>
          <w:szCs w:val="20"/>
        </w:rPr>
        <w:t>Usługodawca</w:t>
      </w:r>
      <w:r w:rsidRPr="004412AD">
        <w:rPr>
          <w:rFonts w:cstheme="minorHAnsi"/>
          <w:sz w:val="20"/>
          <w:szCs w:val="20"/>
        </w:rPr>
        <w:t xml:space="preserve"> nie może mieć zaległości podatkowych ani zaległości </w:t>
      </w:r>
      <w:r w:rsidR="007C550B" w:rsidRPr="004412AD">
        <w:rPr>
          <w:rFonts w:cstheme="minorHAnsi"/>
          <w:sz w:val="20"/>
          <w:szCs w:val="20"/>
        </w:rPr>
        <w:br/>
      </w:r>
      <w:r w:rsidRPr="004412AD">
        <w:rPr>
          <w:rFonts w:cstheme="minorHAnsi"/>
          <w:sz w:val="20"/>
          <w:szCs w:val="20"/>
        </w:rPr>
        <w:t>w opłacaniu składek na ubezpieczenia społeczne</w:t>
      </w:r>
      <w:r w:rsidR="00271367" w:rsidRPr="004412AD">
        <w:rPr>
          <w:rFonts w:cstheme="minorHAnsi"/>
          <w:sz w:val="20"/>
          <w:szCs w:val="20"/>
        </w:rPr>
        <w:t xml:space="preserve">, co musi wykazać poprzez przedłożenie do wniosku, o którym mowa powyżej, odpowiednich zaświadczeń, nie starszych niż 3 miesiące od dnia złożenia wniosku. Po zawarciu umowy </w:t>
      </w:r>
      <w:r w:rsidR="00B91B45">
        <w:rPr>
          <w:rFonts w:cstheme="minorHAnsi"/>
          <w:sz w:val="20"/>
          <w:szCs w:val="20"/>
        </w:rPr>
        <w:t>U</w:t>
      </w:r>
      <w:r w:rsidR="00271367" w:rsidRPr="004412AD">
        <w:rPr>
          <w:rFonts w:cstheme="minorHAnsi"/>
          <w:sz w:val="20"/>
          <w:szCs w:val="20"/>
        </w:rPr>
        <w:t xml:space="preserve">sługodawca jest zobowiązany do przedkładania ZMPG powyższych </w:t>
      </w:r>
      <w:r w:rsidR="00D86606" w:rsidRPr="004412AD">
        <w:rPr>
          <w:rFonts w:cstheme="minorHAnsi"/>
          <w:sz w:val="20"/>
          <w:szCs w:val="20"/>
        </w:rPr>
        <w:t xml:space="preserve">zaświadczeń co 12 miesięcy, przy czym nie starszych niż 3 miesiące od dnia ich złożenia. </w:t>
      </w:r>
    </w:p>
    <w:p w14:paraId="6B2026B4" w14:textId="136F09A3" w:rsidR="00734637" w:rsidRPr="00D61D41" w:rsidRDefault="00387F3A" w:rsidP="00374B49">
      <w:pPr>
        <w:jc w:val="both"/>
        <w:rPr>
          <w:b/>
          <w:sz w:val="20"/>
        </w:rPr>
      </w:pPr>
      <w:r w:rsidRPr="00D61D41">
        <w:rPr>
          <w:b/>
          <w:sz w:val="20"/>
        </w:rPr>
        <w:t>Minimalne w</w:t>
      </w:r>
      <w:r w:rsidR="00F94B5B" w:rsidRPr="00D61D41">
        <w:rPr>
          <w:b/>
          <w:sz w:val="20"/>
        </w:rPr>
        <w:t xml:space="preserve">ymogi </w:t>
      </w:r>
      <w:r w:rsidR="004C18C9" w:rsidRPr="00D61D41">
        <w:rPr>
          <w:b/>
          <w:sz w:val="20"/>
        </w:rPr>
        <w:t>dotyczące wykonywanej usługi</w:t>
      </w:r>
      <w:r w:rsidR="0082326F" w:rsidRPr="00D61D41">
        <w:rPr>
          <w:b/>
          <w:sz w:val="20"/>
        </w:rPr>
        <w:t>:</w:t>
      </w:r>
    </w:p>
    <w:p w14:paraId="3A6105D4" w14:textId="110E7368" w:rsidR="00BD0157" w:rsidRPr="004412AD" w:rsidRDefault="00374B49" w:rsidP="003727C8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412AD">
        <w:rPr>
          <w:rFonts w:cstheme="minorHAnsi"/>
          <w:sz w:val="20"/>
          <w:szCs w:val="20"/>
        </w:rPr>
        <w:t xml:space="preserve">Zapewnienie personelu o wymaganych kwalifikacjach zawodowych gwarantujących wykonywanie usług holowniczych na poziomie wymaganym przez powszechnie obowiązujące przepisy prawa </w:t>
      </w:r>
      <w:r w:rsidR="00893493" w:rsidRPr="004412AD">
        <w:rPr>
          <w:rFonts w:cstheme="minorHAnsi"/>
          <w:sz w:val="20"/>
          <w:szCs w:val="20"/>
        </w:rPr>
        <w:br/>
      </w:r>
      <w:r w:rsidRPr="004412AD">
        <w:rPr>
          <w:rFonts w:cstheme="minorHAnsi"/>
          <w:sz w:val="20"/>
          <w:szCs w:val="20"/>
        </w:rPr>
        <w:t xml:space="preserve">w tym m.in.: </w:t>
      </w:r>
      <w:r w:rsidR="003727C8" w:rsidRPr="004412AD">
        <w:rPr>
          <w:rFonts w:eastAsia="Times New Roman" w:cstheme="minorHAnsi"/>
          <w:sz w:val="20"/>
          <w:szCs w:val="20"/>
          <w:lang w:eastAsia="pl-PL"/>
        </w:rPr>
        <w:t xml:space="preserve">międzynarodowe konwencje, ustawę z dnia 18 sierpnia 2011r. o bezpieczeństwie morskim </w:t>
      </w:r>
      <w:r w:rsidR="007C550B" w:rsidRPr="004412AD">
        <w:rPr>
          <w:rFonts w:eastAsia="Times New Roman" w:cstheme="minorHAnsi"/>
          <w:sz w:val="20"/>
          <w:szCs w:val="20"/>
          <w:lang w:eastAsia="pl-PL"/>
        </w:rPr>
        <w:br/>
      </w:r>
      <w:r w:rsidR="003727C8" w:rsidRPr="004412AD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="003727C8" w:rsidRPr="004412AD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="003727C8" w:rsidRPr="004412AD">
        <w:rPr>
          <w:rFonts w:eastAsia="Times New Roman" w:cstheme="minorHAnsi"/>
          <w:sz w:val="20"/>
          <w:szCs w:val="20"/>
          <w:lang w:eastAsia="pl-PL"/>
        </w:rPr>
        <w:t>. Dz. U. z 2020 r. poz. 680, z 2021 r. poz. 234.)</w:t>
      </w:r>
      <w:r w:rsidR="003D19AF" w:rsidRPr="004412AD">
        <w:rPr>
          <w:rFonts w:eastAsia="Times New Roman" w:cstheme="minorHAnsi"/>
          <w:sz w:val="20"/>
          <w:szCs w:val="20"/>
          <w:lang w:eastAsia="pl-PL"/>
        </w:rPr>
        <w:t>,</w:t>
      </w:r>
      <w:r w:rsidR="003727C8" w:rsidRPr="004412A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727C8" w:rsidRPr="004412A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3D19AF" w:rsidRPr="004412AD">
        <w:rPr>
          <w:rFonts w:eastAsia="Times New Roman" w:cstheme="minorHAnsi"/>
          <w:sz w:val="20"/>
          <w:szCs w:val="20"/>
          <w:lang w:eastAsia="pl-PL"/>
        </w:rPr>
        <w:t>r</w:t>
      </w:r>
      <w:r w:rsidRPr="004412AD">
        <w:rPr>
          <w:rFonts w:eastAsia="Times New Roman" w:cstheme="minorHAnsi"/>
          <w:sz w:val="20"/>
          <w:szCs w:val="20"/>
          <w:lang w:eastAsia="pl-PL"/>
        </w:rPr>
        <w:t>ozporządzenie Ministra Gospodarki Morskiej i Żeglugi Śródlądowej</w:t>
      </w:r>
      <w:r w:rsidR="003727C8" w:rsidRPr="004412AD">
        <w:rPr>
          <w:rFonts w:eastAsia="Times New Roman" w:cstheme="minorHAnsi"/>
          <w:sz w:val="20"/>
          <w:szCs w:val="20"/>
          <w:lang w:eastAsia="pl-PL"/>
        </w:rPr>
        <w:t xml:space="preserve"> z dnia 27 kwietnia 2018r. </w:t>
      </w:r>
      <w:r w:rsidRPr="004412AD">
        <w:rPr>
          <w:rFonts w:eastAsia="Times New Roman" w:cstheme="minorHAnsi"/>
          <w:sz w:val="20"/>
          <w:szCs w:val="20"/>
          <w:lang w:eastAsia="pl-PL"/>
        </w:rPr>
        <w:t xml:space="preserve"> w sprawie wyszkolenia i kwalifikacji członków załóg statków morskich</w:t>
      </w:r>
      <w:r w:rsidR="00567AA5" w:rsidRPr="004412AD">
        <w:rPr>
          <w:rFonts w:cstheme="minorHAnsi"/>
          <w:sz w:val="20"/>
          <w:szCs w:val="20"/>
        </w:rPr>
        <w:t>, także z uwzględnieniem ewentualnych przyszłych zmian tych przepisów</w:t>
      </w:r>
      <w:r w:rsidR="003D19AF" w:rsidRPr="004412AD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4BEE73A5" w14:textId="77777777" w:rsidR="00BD0157" w:rsidRPr="00D61D41" w:rsidRDefault="00BD0157" w:rsidP="00BD0157">
      <w:pPr>
        <w:pStyle w:val="Akapitzlist"/>
        <w:ind w:left="360"/>
        <w:jc w:val="both"/>
        <w:rPr>
          <w:strike/>
          <w:sz w:val="20"/>
        </w:rPr>
      </w:pPr>
    </w:p>
    <w:p w14:paraId="13B46729" w14:textId="73FE27CB" w:rsidR="00BD0157" w:rsidRPr="00D61D41" w:rsidRDefault="00BD0157" w:rsidP="00BD0157">
      <w:pPr>
        <w:pStyle w:val="Akapitzlist"/>
        <w:numPr>
          <w:ilvl w:val="0"/>
          <w:numId w:val="1"/>
        </w:numPr>
        <w:jc w:val="both"/>
        <w:rPr>
          <w:strike/>
          <w:sz w:val="20"/>
        </w:rPr>
      </w:pPr>
      <w:r w:rsidRPr="004412AD">
        <w:rPr>
          <w:rFonts w:cstheme="minorHAnsi"/>
          <w:sz w:val="20"/>
          <w:szCs w:val="20"/>
        </w:rPr>
        <w:t>Posiadanie polisy ubezpieczenia armatora w związku z eksploatacją jednost</w:t>
      </w:r>
      <w:r w:rsidR="008234C3" w:rsidRPr="00D61D41">
        <w:rPr>
          <w:sz w:val="20"/>
        </w:rPr>
        <w:t>e</w:t>
      </w:r>
      <w:r w:rsidRPr="00D61D41">
        <w:rPr>
          <w:sz w:val="20"/>
        </w:rPr>
        <w:t>k</w:t>
      </w:r>
      <w:r w:rsidRPr="004412AD">
        <w:rPr>
          <w:rFonts w:cstheme="minorHAnsi"/>
          <w:sz w:val="20"/>
          <w:szCs w:val="20"/>
        </w:rPr>
        <w:t xml:space="preserve"> pływając</w:t>
      </w:r>
      <w:r w:rsidR="008234C3" w:rsidRPr="00D61D41">
        <w:rPr>
          <w:sz w:val="20"/>
        </w:rPr>
        <w:t>ych</w:t>
      </w:r>
      <w:r w:rsidRPr="004412AD">
        <w:rPr>
          <w:rFonts w:cstheme="minorHAnsi"/>
          <w:sz w:val="20"/>
          <w:szCs w:val="20"/>
        </w:rPr>
        <w:t xml:space="preserve"> z sumą gwarancyjną w wysokości co najmniej równowartoś</w:t>
      </w:r>
      <w:r w:rsidR="00893493" w:rsidRPr="004412AD">
        <w:rPr>
          <w:rFonts w:cstheme="minorHAnsi"/>
          <w:sz w:val="20"/>
          <w:szCs w:val="20"/>
        </w:rPr>
        <w:t>ci</w:t>
      </w:r>
      <w:r w:rsidRPr="004412AD">
        <w:rPr>
          <w:rFonts w:cstheme="minorHAnsi"/>
          <w:sz w:val="20"/>
          <w:szCs w:val="20"/>
        </w:rPr>
        <w:t xml:space="preserve"> 500.000 zł, któr</w:t>
      </w:r>
      <w:r w:rsidR="00893493" w:rsidRPr="004412AD">
        <w:rPr>
          <w:rFonts w:cstheme="minorHAnsi"/>
          <w:sz w:val="20"/>
          <w:szCs w:val="20"/>
        </w:rPr>
        <w:t>a</w:t>
      </w:r>
      <w:r w:rsidRPr="004412AD">
        <w:rPr>
          <w:rFonts w:cstheme="minorHAnsi"/>
          <w:sz w:val="20"/>
          <w:szCs w:val="20"/>
        </w:rPr>
        <w:t xml:space="preserve"> będzie obejmować ochroną:</w:t>
      </w:r>
    </w:p>
    <w:p w14:paraId="0AE64792" w14:textId="77777777" w:rsidR="00BD0157" w:rsidRPr="004412AD" w:rsidRDefault="00BD0157" w:rsidP="00BD01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szkody wyrządzone innym jednostkom pływającym lub obiektom stałym i pływającym,</w:t>
      </w:r>
    </w:p>
    <w:p w14:paraId="3F545DF1" w14:textId="77777777" w:rsidR="00BD0157" w:rsidRPr="004412AD" w:rsidRDefault="00BD0157" w:rsidP="00BD01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szkody w mieniu osób trzecich,</w:t>
      </w:r>
    </w:p>
    <w:p w14:paraId="22A4BF58" w14:textId="1769A985" w:rsidR="00BD0157" w:rsidRPr="004412AD" w:rsidRDefault="00BD0157" w:rsidP="00BD01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lastRenderedPageBreak/>
        <w:t>szkody osobowe z tytułu śmierci, uszkodzenia ciała lub rozstroju zdrowia</w:t>
      </w:r>
      <w:r w:rsidR="00250DFF" w:rsidRPr="004412AD">
        <w:rPr>
          <w:rFonts w:cstheme="minorHAnsi"/>
          <w:sz w:val="20"/>
          <w:szCs w:val="20"/>
        </w:rPr>
        <w:t>,</w:t>
      </w:r>
    </w:p>
    <w:p w14:paraId="21FBA4EC" w14:textId="7E7D69E6" w:rsidR="00BD0157" w:rsidRDefault="00BD0157" w:rsidP="00124E1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szkody wyrządzone środowisku naturalnemu przez jego zanieczyszczenie, o ile były skutkiem zdarzenia lub wypadku objętego ubezpieczeniem, limit minimum 500.000 zł</w:t>
      </w:r>
      <w:r w:rsidR="005119A9" w:rsidRPr="004412AD">
        <w:rPr>
          <w:rFonts w:cstheme="minorHAnsi"/>
          <w:sz w:val="20"/>
          <w:szCs w:val="20"/>
        </w:rPr>
        <w:t>.</w:t>
      </w:r>
    </w:p>
    <w:p w14:paraId="64A5BAC4" w14:textId="77777777" w:rsidR="00386B05" w:rsidRPr="00124E15" w:rsidRDefault="00386B05" w:rsidP="00386B05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BA7E95" w14:textId="1A9AAD7C" w:rsidR="00374B49" w:rsidRPr="004412AD" w:rsidRDefault="00BD0157" w:rsidP="00700D26">
      <w:pPr>
        <w:ind w:left="360"/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Udziały własne/franszyzy w ubezpieczeniu armatora</w:t>
      </w:r>
      <w:r w:rsidR="007E4494">
        <w:rPr>
          <w:rFonts w:cstheme="minorHAnsi"/>
          <w:sz w:val="20"/>
          <w:szCs w:val="20"/>
        </w:rPr>
        <w:t xml:space="preserve"> </w:t>
      </w:r>
      <w:r w:rsidRPr="004412AD">
        <w:rPr>
          <w:rFonts w:cstheme="minorHAnsi"/>
          <w:sz w:val="20"/>
          <w:szCs w:val="20"/>
        </w:rPr>
        <w:t xml:space="preserve">mogą zostać ustanowione na poziomie nie wyższym niż </w:t>
      </w:r>
      <w:r w:rsidR="00963B24">
        <w:rPr>
          <w:rFonts w:cstheme="minorHAnsi"/>
          <w:sz w:val="20"/>
          <w:szCs w:val="20"/>
        </w:rPr>
        <w:t>250 000</w:t>
      </w:r>
      <w:r w:rsidR="007E4494">
        <w:rPr>
          <w:rFonts w:cstheme="minorHAnsi"/>
          <w:sz w:val="20"/>
          <w:szCs w:val="20"/>
        </w:rPr>
        <w:t xml:space="preserve"> zł</w:t>
      </w:r>
      <w:r w:rsidR="003213E7" w:rsidRPr="004412AD">
        <w:rPr>
          <w:rFonts w:cstheme="minorHAnsi"/>
          <w:sz w:val="20"/>
          <w:szCs w:val="20"/>
        </w:rPr>
        <w:t>.</w:t>
      </w:r>
    </w:p>
    <w:p w14:paraId="57D33F8C" w14:textId="7875D579" w:rsidR="00374B49" w:rsidRPr="004412AD" w:rsidRDefault="00E545B9" w:rsidP="00567AA5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Dysponowanie</w:t>
      </w:r>
      <w:r w:rsidRPr="004412AD">
        <w:rPr>
          <w:rFonts w:cstheme="minorHAnsi"/>
          <w:sz w:val="20"/>
          <w:szCs w:val="20"/>
        </w:rPr>
        <w:t xml:space="preserve"> </w:t>
      </w:r>
      <w:r w:rsidR="000457DA" w:rsidRPr="004412AD">
        <w:rPr>
          <w:rFonts w:cstheme="minorHAnsi"/>
          <w:sz w:val="20"/>
          <w:szCs w:val="20"/>
        </w:rPr>
        <w:t xml:space="preserve">i bieżące utrzymanie </w:t>
      </w:r>
      <w:r w:rsidR="00374B49" w:rsidRPr="004412AD">
        <w:rPr>
          <w:rFonts w:cstheme="minorHAnsi"/>
          <w:sz w:val="20"/>
          <w:szCs w:val="20"/>
        </w:rPr>
        <w:t xml:space="preserve">sprawnych, odpowiednio wyposażonych holowników </w:t>
      </w:r>
      <w:r w:rsidR="00124E15">
        <w:rPr>
          <w:rFonts w:cstheme="minorHAnsi"/>
          <w:sz w:val="20"/>
          <w:szCs w:val="20"/>
        </w:rPr>
        <w:t xml:space="preserve">do wykonywania usług holowniczych </w:t>
      </w:r>
      <w:r w:rsidR="00374B49" w:rsidRPr="004412AD">
        <w:rPr>
          <w:rFonts w:cstheme="minorHAnsi"/>
          <w:sz w:val="20"/>
          <w:szCs w:val="20"/>
        </w:rPr>
        <w:t xml:space="preserve">w liczbie zapewniającej </w:t>
      </w:r>
      <w:r w:rsidR="000457DA" w:rsidRPr="004412AD">
        <w:rPr>
          <w:rFonts w:cstheme="minorHAnsi"/>
          <w:sz w:val="20"/>
          <w:szCs w:val="20"/>
        </w:rPr>
        <w:t xml:space="preserve">bieżącą </w:t>
      </w:r>
      <w:r w:rsidR="00374B49" w:rsidRPr="004412AD">
        <w:rPr>
          <w:rFonts w:cstheme="minorHAnsi"/>
          <w:sz w:val="20"/>
          <w:szCs w:val="20"/>
        </w:rPr>
        <w:t xml:space="preserve">obsługę </w:t>
      </w:r>
      <w:r w:rsidR="00C7661D">
        <w:t>wszystkich statków,</w:t>
      </w:r>
      <w:r w:rsidR="00C7661D" w:rsidRPr="004412AD">
        <w:rPr>
          <w:rFonts w:cstheme="minorHAnsi"/>
          <w:sz w:val="20"/>
          <w:szCs w:val="20"/>
        </w:rPr>
        <w:t xml:space="preserve"> </w:t>
      </w:r>
      <w:r w:rsidR="00C7661D">
        <w:rPr>
          <w:rFonts w:cstheme="minorHAnsi"/>
          <w:sz w:val="20"/>
          <w:szCs w:val="20"/>
        </w:rPr>
        <w:t xml:space="preserve">w tym </w:t>
      </w:r>
      <w:r w:rsidR="00374B49" w:rsidRPr="004412AD">
        <w:rPr>
          <w:rFonts w:cstheme="minorHAnsi"/>
          <w:sz w:val="20"/>
          <w:szCs w:val="20"/>
        </w:rPr>
        <w:t>największych jednostek zdolnych do wejścia do Portu Gdynia</w:t>
      </w:r>
      <w:r w:rsidR="000457DA" w:rsidRPr="004412AD">
        <w:rPr>
          <w:rFonts w:cstheme="minorHAnsi"/>
          <w:sz w:val="20"/>
          <w:szCs w:val="20"/>
        </w:rPr>
        <w:t xml:space="preserve"> z uwzględnieniem bieżących warunków nawigacyjnych</w:t>
      </w:r>
      <w:r w:rsidR="00855EB9" w:rsidRPr="004412AD">
        <w:rPr>
          <w:rFonts w:cstheme="minorHAnsi"/>
          <w:sz w:val="20"/>
          <w:szCs w:val="20"/>
        </w:rPr>
        <w:t>.</w:t>
      </w:r>
      <w:r w:rsidR="00567AA5" w:rsidRPr="004412AD">
        <w:rPr>
          <w:rFonts w:cstheme="minorHAnsi"/>
          <w:sz w:val="20"/>
          <w:szCs w:val="20"/>
        </w:rPr>
        <w:t xml:space="preserve"> </w:t>
      </w:r>
    </w:p>
    <w:p w14:paraId="15CB11DB" w14:textId="77777777" w:rsidR="00DF4FC1" w:rsidRPr="004412AD" w:rsidRDefault="00DF4FC1" w:rsidP="00DF4FC1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4C608D10" w14:textId="4E979689" w:rsidR="00374B49" w:rsidRPr="004412AD" w:rsidRDefault="00374B49" w:rsidP="00D11B7A">
      <w:pPr>
        <w:pStyle w:val="Akapitzlist"/>
        <w:numPr>
          <w:ilvl w:val="0"/>
          <w:numId w:val="1"/>
        </w:numPr>
        <w:jc w:val="both"/>
        <w:rPr>
          <w:rFonts w:cstheme="minorHAnsi"/>
          <w:strike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Gotowość operacyjna do świadczenia usług holowniczych na rzecz </w:t>
      </w:r>
      <w:r w:rsidR="008C27CA" w:rsidRPr="004412AD">
        <w:rPr>
          <w:rFonts w:cstheme="minorHAnsi"/>
          <w:sz w:val="20"/>
          <w:szCs w:val="20"/>
        </w:rPr>
        <w:t>każdego podmiotu</w:t>
      </w:r>
      <w:r w:rsidRPr="004412AD">
        <w:rPr>
          <w:rFonts w:cstheme="minorHAnsi"/>
          <w:sz w:val="20"/>
          <w:szCs w:val="20"/>
        </w:rPr>
        <w:t xml:space="preserve"> </w:t>
      </w:r>
      <w:r w:rsidR="008001C9" w:rsidRPr="004412AD">
        <w:rPr>
          <w:rFonts w:cstheme="minorHAnsi"/>
          <w:sz w:val="20"/>
          <w:szCs w:val="20"/>
        </w:rPr>
        <w:t>wymagające</w:t>
      </w:r>
      <w:r w:rsidR="008C27CA" w:rsidRPr="004412AD">
        <w:rPr>
          <w:rFonts w:cstheme="minorHAnsi"/>
          <w:sz w:val="20"/>
          <w:szCs w:val="20"/>
        </w:rPr>
        <w:t>go</w:t>
      </w:r>
      <w:r w:rsidR="008001C9" w:rsidRPr="004412AD">
        <w:rPr>
          <w:rFonts w:cstheme="minorHAnsi"/>
          <w:sz w:val="20"/>
          <w:szCs w:val="20"/>
        </w:rPr>
        <w:t xml:space="preserve"> tego typu usługi zgodnie z </w:t>
      </w:r>
      <w:r w:rsidR="00D11B7A" w:rsidRPr="004412AD">
        <w:rPr>
          <w:rFonts w:cstheme="minorHAnsi"/>
          <w:sz w:val="20"/>
          <w:szCs w:val="20"/>
        </w:rPr>
        <w:t xml:space="preserve">Zarządzeniem nr 9 Dyrektora Urzędu Morskiego w Gdyni z dnia 16 lipca 2018 r. Przepisy Portowe (Dz. Urz. Woj. Pomorskiego poz. 2832), </w:t>
      </w:r>
      <w:r w:rsidR="008001C9" w:rsidRPr="004412AD">
        <w:rPr>
          <w:rFonts w:cstheme="minorHAnsi"/>
          <w:sz w:val="20"/>
          <w:szCs w:val="20"/>
        </w:rPr>
        <w:t>także z uwzględnieniem ewentualnych przyszłych zmian</w:t>
      </w:r>
      <w:r w:rsidR="00D11B7A" w:rsidRPr="004412AD">
        <w:rPr>
          <w:rFonts w:cstheme="minorHAnsi"/>
          <w:sz w:val="20"/>
          <w:szCs w:val="20"/>
        </w:rPr>
        <w:t xml:space="preserve"> tego Zarządzenia,</w:t>
      </w:r>
      <w:r w:rsidRPr="004412AD">
        <w:rPr>
          <w:rFonts w:cstheme="minorHAnsi"/>
          <w:sz w:val="20"/>
          <w:szCs w:val="20"/>
        </w:rPr>
        <w:t xml:space="preserve"> w systemie całodobowym i całorocznym.</w:t>
      </w:r>
    </w:p>
    <w:p w14:paraId="49A14F00" w14:textId="77777777" w:rsidR="00374B49" w:rsidRPr="004412AD" w:rsidRDefault="00374B49" w:rsidP="00374B49">
      <w:pPr>
        <w:pStyle w:val="Akapitzlist"/>
        <w:ind w:left="392"/>
        <w:jc w:val="both"/>
        <w:rPr>
          <w:rFonts w:cstheme="minorHAnsi"/>
          <w:strike/>
          <w:sz w:val="20"/>
          <w:szCs w:val="20"/>
        </w:rPr>
      </w:pPr>
    </w:p>
    <w:p w14:paraId="4BD43EE4" w14:textId="3AFE1ED3" w:rsidR="00374B49" w:rsidRPr="004412AD" w:rsidRDefault="00374B49" w:rsidP="004D43C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Zapewnienie obsługi każdego </w:t>
      </w:r>
      <w:r w:rsidR="008C27CA" w:rsidRPr="004412AD">
        <w:rPr>
          <w:rFonts w:cstheme="minorHAnsi"/>
          <w:sz w:val="20"/>
          <w:szCs w:val="20"/>
        </w:rPr>
        <w:t xml:space="preserve">podmiotu </w:t>
      </w:r>
      <w:r w:rsidRPr="004412AD">
        <w:rPr>
          <w:rFonts w:cstheme="minorHAnsi"/>
          <w:sz w:val="20"/>
          <w:szCs w:val="20"/>
        </w:rPr>
        <w:t>zamawiającego usługę portową holowania, z zachowaniem wysokiej jakości świadczonych usług</w:t>
      </w:r>
      <w:r w:rsidR="00567AA5" w:rsidRPr="004412AD">
        <w:rPr>
          <w:rFonts w:cstheme="minorHAnsi"/>
          <w:sz w:val="20"/>
          <w:szCs w:val="20"/>
        </w:rPr>
        <w:t xml:space="preserve"> w najszybszym możliwym czasie</w:t>
      </w:r>
      <w:r w:rsidR="00737FF8" w:rsidRPr="004412AD">
        <w:rPr>
          <w:rFonts w:cstheme="minorHAnsi"/>
          <w:sz w:val="20"/>
          <w:szCs w:val="20"/>
        </w:rPr>
        <w:t>,</w:t>
      </w:r>
      <w:r w:rsidRPr="004412AD">
        <w:rPr>
          <w:rFonts w:cstheme="minorHAnsi"/>
          <w:sz w:val="20"/>
          <w:szCs w:val="20"/>
        </w:rPr>
        <w:t xml:space="preserve"> </w:t>
      </w:r>
      <w:r w:rsidR="004D43C3" w:rsidRPr="004412AD">
        <w:rPr>
          <w:rFonts w:cstheme="minorHAnsi"/>
          <w:sz w:val="20"/>
          <w:szCs w:val="20"/>
        </w:rPr>
        <w:t>przy jednoczesnym</w:t>
      </w:r>
      <w:r w:rsidRPr="004412AD">
        <w:rPr>
          <w:rFonts w:cstheme="minorHAnsi"/>
          <w:sz w:val="20"/>
          <w:szCs w:val="20"/>
        </w:rPr>
        <w:t xml:space="preserve"> przestrzegani</w:t>
      </w:r>
      <w:r w:rsidR="004D43C3" w:rsidRPr="004412AD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 xml:space="preserve"> powszechnie obowiązujących przepisów bezpieczeństwa w tym m.in. </w:t>
      </w:r>
      <w:r w:rsidR="004D43C3" w:rsidRPr="004412AD">
        <w:rPr>
          <w:rFonts w:cstheme="minorHAnsi"/>
          <w:sz w:val="20"/>
          <w:szCs w:val="20"/>
        </w:rPr>
        <w:t xml:space="preserve">międzynarodowych konwencji, </w:t>
      </w:r>
      <w:r w:rsidRPr="004412AD">
        <w:rPr>
          <w:rFonts w:cstheme="minorHAnsi"/>
          <w:sz w:val="20"/>
          <w:szCs w:val="20"/>
        </w:rPr>
        <w:t xml:space="preserve">ustawy </w:t>
      </w:r>
      <w:r w:rsidR="004D43C3" w:rsidRPr="004412AD">
        <w:rPr>
          <w:rFonts w:cstheme="minorHAnsi"/>
          <w:sz w:val="20"/>
          <w:szCs w:val="20"/>
        </w:rPr>
        <w:t>z dnia 18 sierpnia 2011r. o bezpieczeństwie morskim (</w:t>
      </w:r>
      <w:proofErr w:type="spellStart"/>
      <w:r w:rsidR="004D43C3" w:rsidRPr="004412AD">
        <w:rPr>
          <w:rFonts w:cstheme="minorHAnsi"/>
          <w:sz w:val="20"/>
          <w:szCs w:val="20"/>
        </w:rPr>
        <w:t>t.j</w:t>
      </w:r>
      <w:proofErr w:type="spellEnd"/>
      <w:r w:rsidR="004D43C3" w:rsidRPr="004412AD">
        <w:rPr>
          <w:rFonts w:cstheme="minorHAnsi"/>
          <w:sz w:val="20"/>
          <w:szCs w:val="20"/>
        </w:rPr>
        <w:t>. Dz. U. z 2020 r. poz. 680, z 2021 r. poz. 234.)</w:t>
      </w:r>
      <w:r w:rsidRPr="004412AD">
        <w:rPr>
          <w:rFonts w:cstheme="minorHAnsi"/>
          <w:sz w:val="20"/>
          <w:szCs w:val="20"/>
        </w:rPr>
        <w:t xml:space="preserve">, </w:t>
      </w:r>
      <w:r w:rsidR="00B414CF">
        <w:rPr>
          <w:rFonts w:cstheme="minorHAnsi"/>
          <w:sz w:val="20"/>
          <w:szCs w:val="20"/>
        </w:rPr>
        <w:t>aktów prawnych wydawanych przez</w:t>
      </w:r>
      <w:r w:rsidRPr="004412AD">
        <w:rPr>
          <w:rFonts w:cstheme="minorHAnsi"/>
          <w:sz w:val="20"/>
          <w:szCs w:val="20"/>
        </w:rPr>
        <w:t xml:space="preserve"> Dyrektora Urzędu Morskiego w Gdyni</w:t>
      </w:r>
      <w:r w:rsidR="00567AA5" w:rsidRPr="004412AD">
        <w:rPr>
          <w:rFonts w:cstheme="minorHAnsi"/>
          <w:sz w:val="20"/>
          <w:szCs w:val="20"/>
        </w:rPr>
        <w:t>, także z uwzględnieniem ewentualnych przyszłych zmian tych przepisów</w:t>
      </w:r>
      <w:r w:rsidR="004D43C3" w:rsidRPr="004412AD">
        <w:rPr>
          <w:rFonts w:cstheme="minorHAnsi"/>
          <w:sz w:val="20"/>
          <w:szCs w:val="20"/>
        </w:rPr>
        <w:t xml:space="preserve">. </w:t>
      </w:r>
    </w:p>
    <w:p w14:paraId="287D8E6A" w14:textId="77777777" w:rsidR="00374B49" w:rsidRPr="004412AD" w:rsidRDefault="00374B49" w:rsidP="00374B49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11ED77AA" w14:textId="4573A5CA" w:rsidR="00E25B9B" w:rsidRPr="004412AD" w:rsidRDefault="00374B49" w:rsidP="00700D2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Zapewnienie przejrzystości oferowanych stawek poprzez publikowanie aktualnego cennika świadczenia usług na stronie internetowej</w:t>
      </w:r>
      <w:r w:rsidR="00F60C50" w:rsidRPr="004412AD">
        <w:rPr>
          <w:rFonts w:cstheme="minorHAnsi"/>
          <w:sz w:val="20"/>
          <w:szCs w:val="20"/>
        </w:rPr>
        <w:t xml:space="preserve"> </w:t>
      </w:r>
      <w:r w:rsidR="00B91B45">
        <w:rPr>
          <w:rFonts w:cstheme="minorHAnsi"/>
          <w:sz w:val="20"/>
          <w:szCs w:val="20"/>
        </w:rPr>
        <w:t>U</w:t>
      </w:r>
      <w:r w:rsidR="00F60C50" w:rsidRPr="004412AD">
        <w:rPr>
          <w:rFonts w:cstheme="minorHAnsi"/>
          <w:sz w:val="20"/>
          <w:szCs w:val="20"/>
        </w:rPr>
        <w:t>sługodawcy</w:t>
      </w:r>
      <w:r w:rsidRPr="004412AD">
        <w:rPr>
          <w:rFonts w:cstheme="minorHAnsi"/>
          <w:sz w:val="20"/>
          <w:szCs w:val="20"/>
        </w:rPr>
        <w:t xml:space="preserve">, </w:t>
      </w:r>
      <w:r w:rsidR="00F60C50" w:rsidRPr="004412AD">
        <w:rPr>
          <w:rFonts w:cstheme="minorHAnsi"/>
          <w:sz w:val="20"/>
          <w:szCs w:val="20"/>
        </w:rPr>
        <w:t xml:space="preserve">z zastrzeżeniem, że </w:t>
      </w:r>
      <w:r w:rsidRPr="004412AD">
        <w:rPr>
          <w:rFonts w:cstheme="minorHAnsi"/>
          <w:sz w:val="20"/>
          <w:szCs w:val="20"/>
        </w:rPr>
        <w:t>ewentualna zmian</w:t>
      </w:r>
      <w:r w:rsidR="00F60C50" w:rsidRPr="004412AD">
        <w:rPr>
          <w:rFonts w:cstheme="minorHAnsi"/>
          <w:sz w:val="20"/>
          <w:szCs w:val="20"/>
        </w:rPr>
        <w:t>y</w:t>
      </w:r>
      <w:r w:rsidRPr="004412AD">
        <w:rPr>
          <w:rFonts w:cstheme="minorHAnsi"/>
          <w:sz w:val="20"/>
          <w:szCs w:val="20"/>
        </w:rPr>
        <w:t xml:space="preserve"> </w:t>
      </w:r>
      <w:r w:rsidR="00F60C50" w:rsidRPr="004412AD">
        <w:rPr>
          <w:rFonts w:cstheme="minorHAnsi"/>
          <w:sz w:val="20"/>
          <w:szCs w:val="20"/>
        </w:rPr>
        <w:t xml:space="preserve">tego cennika </w:t>
      </w:r>
      <w:r w:rsidRPr="004412AD">
        <w:rPr>
          <w:rFonts w:cstheme="minorHAnsi"/>
          <w:sz w:val="20"/>
          <w:szCs w:val="20"/>
        </w:rPr>
        <w:t>mus</w:t>
      </w:r>
      <w:r w:rsidR="00F60C50" w:rsidRPr="004412AD">
        <w:rPr>
          <w:rFonts w:cstheme="minorHAnsi"/>
          <w:sz w:val="20"/>
          <w:szCs w:val="20"/>
        </w:rPr>
        <w:t>zą</w:t>
      </w:r>
      <w:r w:rsidRPr="004412AD">
        <w:rPr>
          <w:rFonts w:cstheme="minorHAnsi"/>
          <w:sz w:val="20"/>
          <w:szCs w:val="20"/>
        </w:rPr>
        <w:t xml:space="preserve"> zostać opublikowan</w:t>
      </w:r>
      <w:r w:rsidR="00F60C50" w:rsidRPr="004412AD">
        <w:rPr>
          <w:rFonts w:cstheme="minorHAnsi"/>
          <w:sz w:val="20"/>
          <w:szCs w:val="20"/>
        </w:rPr>
        <w:t>e</w:t>
      </w:r>
      <w:r w:rsidRPr="004412AD">
        <w:rPr>
          <w:rFonts w:cstheme="minorHAnsi"/>
          <w:sz w:val="20"/>
          <w:szCs w:val="20"/>
        </w:rPr>
        <w:t xml:space="preserve"> z</w:t>
      </w:r>
      <w:r w:rsidR="00F60C50" w:rsidRPr="004412AD">
        <w:rPr>
          <w:rFonts w:cstheme="minorHAnsi"/>
          <w:sz w:val="20"/>
          <w:szCs w:val="20"/>
        </w:rPr>
        <w:t xml:space="preserve"> przynajmniej</w:t>
      </w:r>
      <w:r w:rsidRPr="004412AD">
        <w:rPr>
          <w:rFonts w:cstheme="minorHAnsi"/>
          <w:sz w:val="20"/>
          <w:szCs w:val="20"/>
        </w:rPr>
        <w:t xml:space="preserve"> 2 miesięcznym wyprzedzeniem przed wprowadzeniem ich w życie.</w:t>
      </w:r>
      <w:r w:rsidR="00567AA5" w:rsidRPr="004412AD">
        <w:rPr>
          <w:rFonts w:cstheme="minorHAnsi"/>
          <w:sz w:val="20"/>
          <w:szCs w:val="20"/>
        </w:rPr>
        <w:t xml:space="preserve"> Opłaty z tytułu</w:t>
      </w:r>
      <w:r w:rsidR="003213E7" w:rsidRPr="004412AD">
        <w:rPr>
          <w:rFonts w:cstheme="minorHAnsi"/>
          <w:sz w:val="20"/>
          <w:szCs w:val="20"/>
        </w:rPr>
        <w:t xml:space="preserve"> świadczenia usługi holowania powinny być ustalane przez Usługodawcę w sposób przejrzysty, obiektywny i niedyskryminacyjny oraz być proporcjonalne do kosztu świadczonej usługi.</w:t>
      </w:r>
    </w:p>
    <w:p w14:paraId="15F9242C" w14:textId="77777777" w:rsidR="00E25B9B" w:rsidRPr="004412AD" w:rsidRDefault="00E25B9B" w:rsidP="00700D26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0EDB12E7" w14:textId="00AC085C" w:rsidR="008B33B0" w:rsidRPr="004412AD" w:rsidRDefault="00E25B9B" w:rsidP="00700D2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Usługodawca będzie niezwłocznie zgłaszać wszelkie szkody środowiskowe i inne powstałe w związku ze świadczeniem usług</w:t>
      </w:r>
      <w:r w:rsidR="00700D26" w:rsidRPr="004412AD">
        <w:rPr>
          <w:rFonts w:cstheme="minorHAnsi"/>
          <w:sz w:val="20"/>
          <w:szCs w:val="20"/>
        </w:rPr>
        <w:t xml:space="preserve"> zgodnie z obowiązującymi przepisami w tym </w:t>
      </w:r>
      <w:r w:rsidR="003C7AAF" w:rsidRPr="004412AD">
        <w:rPr>
          <w:rFonts w:cstheme="minorHAnsi"/>
          <w:sz w:val="20"/>
          <w:szCs w:val="20"/>
        </w:rPr>
        <w:t>także z</w:t>
      </w:r>
      <w:r w:rsidR="00700D26" w:rsidRPr="004412AD">
        <w:rPr>
          <w:rFonts w:cstheme="minorHAnsi"/>
          <w:sz w:val="20"/>
          <w:szCs w:val="20"/>
        </w:rPr>
        <w:t xml:space="preserve"> „Instrukcją postępowania przy awariach, defektach, katastrofach budowlanych obiektów stanowiących własność Zarządu Morskiego Portu Gdynia S.A. oraz uszkodzeniach statków, powstałych na terenie Zarządu Morskiego Portu Gdynia S.A.” oraz „</w:t>
      </w:r>
      <w:r w:rsidR="00700D26" w:rsidRPr="004412AD">
        <w:rPr>
          <w:rFonts w:cstheme="minorHAnsi"/>
          <w:sz w:val="20"/>
          <w:szCs w:val="20"/>
          <w:shd w:val="clear" w:color="auto" w:fill="FFFFFF"/>
        </w:rPr>
        <w:t>Planem  zwalczania  zagrożeń i zanieczyszczeń wód portowych dla Zarządu Morskiego Portu Gdynia S.A.”</w:t>
      </w:r>
      <w:r w:rsidRPr="004412AD">
        <w:rPr>
          <w:rFonts w:cstheme="minorHAnsi"/>
          <w:sz w:val="20"/>
          <w:szCs w:val="20"/>
        </w:rPr>
        <w:t xml:space="preserve">. W przypadku niezgłoszenia lub zgłoszenia z opóźnieniem szkód, o których mowa powyżej, </w:t>
      </w:r>
      <w:r w:rsidR="00B91B45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 xml:space="preserve">sługodawca ponosi odpowiedzialność za wszelkie szkody spowodowane opóźnieniem zgłoszenia lub niezgłoszeniem szkody. </w:t>
      </w:r>
    </w:p>
    <w:p w14:paraId="2078BA2B" w14:textId="77777777" w:rsidR="00D36F17" w:rsidRPr="004412AD" w:rsidRDefault="00D36F17" w:rsidP="00700D26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2AAADC58" w14:textId="741AB8C2" w:rsidR="00E25B9B" w:rsidRPr="004412AD" w:rsidRDefault="00D36F17" w:rsidP="00700D2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Usługodawca będzie niezwłocznie informować ZMPG o wszelkich brakach w bezpieczeństwie stwierdzonych w rejonie nabrzeża, takich jak brakujące wyposażenie bezpieczeństwa nabrzeża lub niedostateczne utrzymanie basenu portowego. </w:t>
      </w:r>
    </w:p>
    <w:p w14:paraId="500E77B5" w14:textId="77777777" w:rsidR="004D43C3" w:rsidRPr="004412AD" w:rsidRDefault="004D43C3" w:rsidP="00700D26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5F8BCA2B" w14:textId="199CD8B5" w:rsidR="006D534C" w:rsidRPr="004412AD" w:rsidRDefault="008B33B0" w:rsidP="006D534C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Gwarancja świadczenia usług w zakontraktowanym okresie.</w:t>
      </w:r>
    </w:p>
    <w:p w14:paraId="75CCB671" w14:textId="77777777" w:rsidR="006D534C" w:rsidRPr="004412AD" w:rsidRDefault="006D534C" w:rsidP="00006156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30A79D75" w14:textId="62C959F5" w:rsidR="00DD134D" w:rsidRPr="004412AD" w:rsidRDefault="00E545B9" w:rsidP="00006156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Dysponowanie</w:t>
      </w:r>
      <w:r w:rsidRPr="004412AD">
        <w:rPr>
          <w:rFonts w:cstheme="minorHAnsi"/>
          <w:sz w:val="20"/>
          <w:szCs w:val="20"/>
        </w:rPr>
        <w:t xml:space="preserve"> </w:t>
      </w:r>
      <w:r w:rsidR="00DD134D" w:rsidRPr="004412AD">
        <w:rPr>
          <w:rFonts w:cstheme="minorHAnsi"/>
          <w:sz w:val="20"/>
          <w:szCs w:val="20"/>
        </w:rPr>
        <w:t>2 holownik</w:t>
      </w:r>
      <w:r>
        <w:rPr>
          <w:rFonts w:cstheme="minorHAnsi"/>
          <w:sz w:val="20"/>
          <w:szCs w:val="20"/>
        </w:rPr>
        <w:t>ami</w:t>
      </w:r>
      <w:r w:rsidR="00DD134D" w:rsidRPr="004412AD">
        <w:rPr>
          <w:rFonts w:cstheme="minorHAnsi"/>
          <w:sz w:val="20"/>
          <w:szCs w:val="20"/>
        </w:rPr>
        <w:t xml:space="preserve"> przystosowany</w:t>
      </w:r>
      <w:r>
        <w:rPr>
          <w:rFonts w:cstheme="minorHAnsi"/>
          <w:sz w:val="20"/>
          <w:szCs w:val="20"/>
        </w:rPr>
        <w:t>mi</w:t>
      </w:r>
      <w:r w:rsidR="00DD134D" w:rsidRPr="004412AD">
        <w:rPr>
          <w:rFonts w:cstheme="minorHAnsi"/>
          <w:sz w:val="20"/>
          <w:szCs w:val="20"/>
        </w:rPr>
        <w:t xml:space="preserve"> do prowadzenia działań ratowniczo-gaśniczych na obszarze zarządzanym przez ZMPG</w:t>
      </w:r>
      <w:r>
        <w:rPr>
          <w:rFonts w:cstheme="minorHAnsi"/>
          <w:sz w:val="20"/>
          <w:szCs w:val="20"/>
        </w:rPr>
        <w:t>.</w:t>
      </w:r>
      <w:r w:rsidR="00DD134D" w:rsidRPr="004412AD">
        <w:rPr>
          <w:rFonts w:cstheme="minorHAnsi"/>
          <w:sz w:val="20"/>
          <w:szCs w:val="20"/>
        </w:rPr>
        <w:t xml:space="preserve"> Jednostki te powinny posiadać certyfikat statku pożarniczego z wyróżnikiem minimum FFS 1a lub równoważnym</w:t>
      </w:r>
      <w:r>
        <w:rPr>
          <w:rFonts w:cstheme="minorHAnsi"/>
          <w:sz w:val="20"/>
          <w:szCs w:val="20"/>
        </w:rPr>
        <w:t xml:space="preserve"> oraz</w:t>
      </w:r>
      <w:r w:rsidR="00DD134D" w:rsidRPr="004412AD">
        <w:rPr>
          <w:rFonts w:cstheme="minorHAnsi"/>
          <w:sz w:val="20"/>
          <w:szCs w:val="20"/>
        </w:rPr>
        <w:t xml:space="preserve"> posiadać zapas środka pianotwórczego w ilości:</w:t>
      </w:r>
    </w:p>
    <w:p w14:paraId="29506307" w14:textId="77777777" w:rsidR="00DD134D" w:rsidRPr="004412AD" w:rsidRDefault="00DD134D" w:rsidP="00006156">
      <w:pPr>
        <w:pStyle w:val="Akapitzlist"/>
        <w:numPr>
          <w:ilvl w:val="1"/>
          <w:numId w:val="11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dla wyróżnika FFS 1a i 3 zgodnie z przepisami,</w:t>
      </w:r>
    </w:p>
    <w:p w14:paraId="4F0819B0" w14:textId="618CF01C" w:rsidR="006D534C" w:rsidRPr="00E545B9" w:rsidRDefault="00DD134D" w:rsidP="00E545B9">
      <w:pPr>
        <w:pStyle w:val="Akapitzlist"/>
        <w:numPr>
          <w:ilvl w:val="1"/>
          <w:numId w:val="11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>dla wyróżnika 1 i 2 nie mniej niż 5 m3.</w:t>
      </w:r>
    </w:p>
    <w:p w14:paraId="3A30E7E6" w14:textId="41F16802" w:rsidR="007B7633" w:rsidRPr="00E545B9" w:rsidRDefault="00DD134D" w:rsidP="00E545B9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545B9">
        <w:rPr>
          <w:rFonts w:cstheme="minorHAnsi"/>
          <w:sz w:val="20"/>
          <w:szCs w:val="20"/>
        </w:rPr>
        <w:t xml:space="preserve">Gotowość do świadczenia w swoim imieniu bezpośrednio na rzecz innych podmiotów </w:t>
      </w:r>
      <w:r w:rsidRPr="00E545B9">
        <w:rPr>
          <w:rFonts w:cstheme="minorHAnsi"/>
          <w:sz w:val="20"/>
          <w:szCs w:val="20"/>
        </w:rPr>
        <w:br/>
        <w:t xml:space="preserve">(w szczególności armatorów statków, przeładowców, właścicieli towaru lub podmiotów operujących terminalami przeładunkowymi) usług asysty przeciwpożarowej na terenie Portu Gdynia </w:t>
      </w:r>
      <w:r w:rsidRPr="00E545B9">
        <w:rPr>
          <w:rFonts w:cstheme="minorHAnsi"/>
          <w:sz w:val="20"/>
          <w:szCs w:val="20"/>
        </w:rPr>
        <w:br/>
      </w:r>
      <w:r w:rsidRPr="00E545B9">
        <w:rPr>
          <w:rFonts w:cstheme="minorHAnsi"/>
          <w:sz w:val="20"/>
          <w:szCs w:val="20"/>
        </w:rPr>
        <w:lastRenderedPageBreak/>
        <w:t xml:space="preserve">z wykorzystaniem statku pożarniczego obsadzonego strażakami Portowej Straży Pożarnej ZMPG zgodnie </w:t>
      </w:r>
      <w:r w:rsidR="00EA65DC" w:rsidRPr="00E545B9">
        <w:rPr>
          <w:rFonts w:cstheme="minorHAnsi"/>
          <w:sz w:val="20"/>
          <w:szCs w:val="20"/>
        </w:rPr>
        <w:br/>
      </w:r>
      <w:r w:rsidRPr="00E545B9">
        <w:rPr>
          <w:rFonts w:cstheme="minorHAnsi"/>
          <w:sz w:val="20"/>
          <w:szCs w:val="20"/>
        </w:rPr>
        <w:t xml:space="preserve">z Regulaminem służby </w:t>
      </w:r>
      <w:r w:rsidR="00B414CF">
        <w:rPr>
          <w:rFonts w:cstheme="minorHAnsi"/>
          <w:sz w:val="20"/>
          <w:szCs w:val="20"/>
        </w:rPr>
        <w:t xml:space="preserve">dla </w:t>
      </w:r>
      <w:r w:rsidRPr="00E545B9">
        <w:rPr>
          <w:rFonts w:cstheme="minorHAnsi"/>
          <w:sz w:val="20"/>
          <w:szCs w:val="20"/>
        </w:rPr>
        <w:t xml:space="preserve">statku pożarniczego, instrukcjami technologicznymi terminali przeładunkowych </w:t>
      </w:r>
      <w:r w:rsidRPr="00E545B9">
        <w:rPr>
          <w:rFonts w:cstheme="minorHAnsi"/>
          <w:sz w:val="20"/>
          <w:szCs w:val="20"/>
        </w:rPr>
        <w:br/>
        <w:t xml:space="preserve">i </w:t>
      </w:r>
      <w:r w:rsidR="00B414CF">
        <w:rPr>
          <w:rFonts w:cstheme="minorHAnsi"/>
          <w:sz w:val="20"/>
          <w:szCs w:val="20"/>
        </w:rPr>
        <w:t xml:space="preserve"> aktami prawnymi wydawanymi przez</w:t>
      </w:r>
      <w:r w:rsidRPr="00E545B9">
        <w:rPr>
          <w:rFonts w:cstheme="minorHAnsi"/>
          <w:sz w:val="20"/>
          <w:szCs w:val="20"/>
        </w:rPr>
        <w:t xml:space="preserve"> Dyrektora Urzędu Morskiego w Gdyni.</w:t>
      </w:r>
    </w:p>
    <w:p w14:paraId="58ABEE3F" w14:textId="16FA2B56" w:rsidR="008B33B0" w:rsidRPr="00D61D41" w:rsidRDefault="008B33B0"/>
    <w:p w14:paraId="1509EBD5" w14:textId="44FACC04" w:rsidR="00A552D4" w:rsidRPr="00D61D41" w:rsidRDefault="00A552D4" w:rsidP="00A552D4">
      <w:pPr>
        <w:jc w:val="both"/>
        <w:rPr>
          <w:sz w:val="20"/>
        </w:rPr>
      </w:pPr>
      <w:r w:rsidRPr="004412AD">
        <w:rPr>
          <w:rFonts w:cstheme="minorHAnsi"/>
          <w:sz w:val="20"/>
          <w:szCs w:val="20"/>
        </w:rPr>
        <w:t xml:space="preserve">ZMPG zastrzega sobie prawo </w:t>
      </w:r>
      <w:r w:rsidRPr="004412AD">
        <w:rPr>
          <w:rFonts w:cstheme="minorHAnsi"/>
          <w:b/>
          <w:sz w:val="20"/>
          <w:szCs w:val="20"/>
        </w:rPr>
        <w:t>uzupełnienia</w:t>
      </w:r>
      <w:r w:rsidRPr="004412AD">
        <w:rPr>
          <w:rFonts w:cstheme="minorHAnsi"/>
          <w:sz w:val="20"/>
          <w:szCs w:val="20"/>
        </w:rPr>
        <w:t xml:space="preserve"> niniejszych </w:t>
      </w:r>
      <w:r w:rsidR="00E065CF" w:rsidRPr="004412AD">
        <w:rPr>
          <w:rFonts w:cstheme="minorHAnsi"/>
          <w:sz w:val="20"/>
          <w:szCs w:val="20"/>
        </w:rPr>
        <w:t>m</w:t>
      </w:r>
      <w:r w:rsidRPr="004412AD">
        <w:rPr>
          <w:rFonts w:cstheme="minorHAnsi"/>
          <w:sz w:val="20"/>
          <w:szCs w:val="20"/>
        </w:rPr>
        <w:t xml:space="preserve">inimalnych </w:t>
      </w:r>
      <w:r w:rsidR="00E065CF" w:rsidRPr="004412AD">
        <w:rPr>
          <w:rFonts w:cstheme="minorHAnsi"/>
          <w:sz w:val="20"/>
          <w:szCs w:val="20"/>
        </w:rPr>
        <w:t>w</w:t>
      </w:r>
      <w:r w:rsidRPr="004412AD">
        <w:rPr>
          <w:rFonts w:cstheme="minorHAnsi"/>
          <w:sz w:val="20"/>
          <w:szCs w:val="20"/>
        </w:rPr>
        <w:t>ymogów</w:t>
      </w:r>
      <w:r w:rsidR="00604B33">
        <w:rPr>
          <w:rFonts w:cstheme="minorHAnsi"/>
          <w:sz w:val="20"/>
          <w:szCs w:val="20"/>
        </w:rPr>
        <w:t xml:space="preserve"> w sposó</w:t>
      </w:r>
      <w:r w:rsidR="007B5922">
        <w:rPr>
          <w:rFonts w:cstheme="minorHAnsi"/>
          <w:sz w:val="20"/>
          <w:szCs w:val="20"/>
        </w:rPr>
        <w:t>b przewidziany w art.</w:t>
      </w:r>
      <w:r w:rsidR="008A0C4B">
        <w:rPr>
          <w:rFonts w:cstheme="minorHAnsi"/>
          <w:sz w:val="20"/>
          <w:szCs w:val="20"/>
        </w:rPr>
        <w:t xml:space="preserve"> 4 ust. 6 R</w:t>
      </w:r>
      <w:r w:rsidR="007B5922">
        <w:rPr>
          <w:rFonts w:cstheme="minorHAnsi"/>
          <w:sz w:val="20"/>
          <w:szCs w:val="20"/>
        </w:rPr>
        <w:t xml:space="preserve">ozporządzenia </w:t>
      </w:r>
      <w:r w:rsidRPr="004412AD">
        <w:rPr>
          <w:rFonts w:cstheme="minorHAnsi"/>
          <w:sz w:val="20"/>
          <w:szCs w:val="20"/>
        </w:rPr>
        <w:t>o dodatkowe wymogi, przede wszystkim w zakresie bezpieczeństwa i ochrony portu</w:t>
      </w:r>
      <w:r w:rsidR="00386B05">
        <w:rPr>
          <w:rFonts w:cstheme="minorHAnsi"/>
          <w:sz w:val="20"/>
          <w:szCs w:val="20"/>
        </w:rPr>
        <w:t>,</w:t>
      </w:r>
      <w:r w:rsidRPr="00D61D41">
        <w:rPr>
          <w:sz w:val="20"/>
        </w:rPr>
        <w:t xml:space="preserve"> w tym związane z wyposażeniem pożarniczym holownika. </w:t>
      </w:r>
    </w:p>
    <w:p w14:paraId="74A32C76" w14:textId="77777777" w:rsidR="00BF268D" w:rsidRPr="004412AD" w:rsidRDefault="00BF268D" w:rsidP="00700D26">
      <w:pPr>
        <w:jc w:val="both"/>
        <w:rPr>
          <w:rFonts w:cstheme="minorHAnsi"/>
          <w:sz w:val="20"/>
          <w:szCs w:val="20"/>
        </w:rPr>
      </w:pPr>
    </w:p>
    <w:p w14:paraId="32EDB004" w14:textId="2CB3F2B4" w:rsidR="00BF268D" w:rsidRPr="004412AD" w:rsidRDefault="00BF268D" w:rsidP="00700D26">
      <w:pPr>
        <w:jc w:val="both"/>
        <w:rPr>
          <w:rFonts w:cstheme="minorHAnsi"/>
          <w:b/>
          <w:sz w:val="20"/>
          <w:szCs w:val="20"/>
        </w:rPr>
      </w:pPr>
      <w:r w:rsidRPr="004412AD">
        <w:rPr>
          <w:rFonts w:cstheme="minorHAnsi"/>
          <w:b/>
          <w:sz w:val="20"/>
          <w:szCs w:val="20"/>
        </w:rPr>
        <w:t xml:space="preserve">Instrukcje w zakresie </w:t>
      </w:r>
      <w:r w:rsidR="00CD6822">
        <w:rPr>
          <w:rFonts w:cstheme="minorHAnsi"/>
          <w:b/>
          <w:sz w:val="20"/>
          <w:szCs w:val="20"/>
        </w:rPr>
        <w:t xml:space="preserve">składania </w:t>
      </w:r>
      <w:r w:rsidR="007B5922">
        <w:rPr>
          <w:rFonts w:cstheme="minorHAnsi"/>
          <w:b/>
          <w:sz w:val="20"/>
          <w:szCs w:val="20"/>
        </w:rPr>
        <w:t>skarg</w:t>
      </w:r>
      <w:r w:rsidR="007B5922" w:rsidRPr="004412AD">
        <w:rPr>
          <w:rFonts w:cstheme="minorHAnsi"/>
          <w:b/>
          <w:sz w:val="20"/>
          <w:szCs w:val="20"/>
        </w:rPr>
        <w:t xml:space="preserve"> </w:t>
      </w:r>
      <w:r w:rsidRPr="004412AD">
        <w:rPr>
          <w:rFonts w:cstheme="minorHAnsi"/>
          <w:b/>
          <w:sz w:val="20"/>
          <w:szCs w:val="20"/>
        </w:rPr>
        <w:t>i zakończenia działalności</w:t>
      </w:r>
      <w:r w:rsidR="00B217C2">
        <w:rPr>
          <w:rFonts w:cstheme="minorHAnsi"/>
          <w:b/>
          <w:sz w:val="20"/>
          <w:szCs w:val="20"/>
        </w:rPr>
        <w:t xml:space="preserve">: </w:t>
      </w:r>
    </w:p>
    <w:p w14:paraId="490429B9" w14:textId="1E00C497" w:rsidR="00BF268D" w:rsidRPr="004412AD" w:rsidRDefault="008201B4" w:rsidP="008201B4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Usługodawca</w:t>
      </w:r>
      <w:r w:rsidRPr="008201B4">
        <w:rPr>
          <w:rFonts w:cstheme="minorHAnsi"/>
          <w:sz w:val="20"/>
          <w:szCs w:val="20"/>
        </w:rPr>
        <w:t xml:space="preserve"> </w:t>
      </w:r>
      <w:r w:rsidR="00CD6822">
        <w:rPr>
          <w:rFonts w:cstheme="minorHAnsi"/>
          <w:sz w:val="20"/>
          <w:szCs w:val="20"/>
        </w:rPr>
        <w:t xml:space="preserve">może </w:t>
      </w:r>
      <w:r w:rsidR="00783C94">
        <w:rPr>
          <w:rFonts w:cstheme="minorHAnsi"/>
          <w:sz w:val="20"/>
          <w:szCs w:val="20"/>
        </w:rPr>
        <w:t>złożyć skargę</w:t>
      </w:r>
      <w:r w:rsidR="00AD745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do właściwego dyrektora urzędu morskiego dotyczącą naruszenia przez podmiot zarządzający portem, o którym mowa w </w:t>
      </w:r>
      <w:r w:rsidRPr="008201B4">
        <w:rPr>
          <w:rFonts w:cstheme="minorHAnsi"/>
          <w:sz w:val="20"/>
          <w:szCs w:val="20"/>
        </w:rPr>
        <w:t>§</w:t>
      </w:r>
      <w:r w:rsidR="00CD6822">
        <w:rPr>
          <w:rFonts w:cstheme="minorHAnsi"/>
          <w:sz w:val="20"/>
          <w:szCs w:val="20"/>
        </w:rPr>
        <w:t xml:space="preserve"> 2a ust. 1 U</w:t>
      </w:r>
      <w:r>
        <w:rPr>
          <w:rFonts w:cstheme="minorHAnsi"/>
          <w:sz w:val="20"/>
          <w:szCs w:val="20"/>
        </w:rPr>
        <w:t>stawy, przepisów rozporządzenia zgodnie z art. 43aa ustawy z dnia 21 marca 1991r. o obszarach morskich Rzecz</w:t>
      </w:r>
      <w:r w:rsidR="00B414CF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 xml:space="preserve">pospolitej Polskiej i administracji morskiej (Dz. U. z 2020r. poz. 2135 oraz z 2021r. poz. 234).  </w:t>
      </w:r>
    </w:p>
    <w:p w14:paraId="2492DD09" w14:textId="77777777" w:rsidR="00BF268D" w:rsidRPr="004412AD" w:rsidRDefault="00BF268D" w:rsidP="00E545B9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p w14:paraId="5EF8E319" w14:textId="21FB05BD" w:rsidR="00BF268D" w:rsidRPr="004412AD" w:rsidRDefault="00BF268D" w:rsidP="008201B4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Na żądanie ZMPG </w:t>
      </w:r>
      <w:r w:rsidR="00B91B45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 xml:space="preserve">sługodawca jest zobowiązany do wykazania </w:t>
      </w:r>
      <w:r w:rsidR="00E002F4" w:rsidRPr="004412AD">
        <w:rPr>
          <w:rFonts w:cstheme="minorHAnsi"/>
          <w:sz w:val="20"/>
          <w:szCs w:val="20"/>
        </w:rPr>
        <w:t>spełniania</w:t>
      </w:r>
      <w:r w:rsidRPr="004412AD">
        <w:rPr>
          <w:rFonts w:cstheme="minorHAnsi"/>
          <w:sz w:val="20"/>
          <w:szCs w:val="20"/>
        </w:rPr>
        <w:t xml:space="preserve"> </w:t>
      </w:r>
      <w:r w:rsidR="00E002F4" w:rsidRPr="004412AD">
        <w:rPr>
          <w:rFonts w:cstheme="minorHAnsi"/>
          <w:sz w:val="20"/>
          <w:szCs w:val="20"/>
        </w:rPr>
        <w:t>przez niego niniejszych minimalnych wymogów</w:t>
      </w:r>
      <w:r w:rsidR="00D11BDF" w:rsidRPr="004412AD">
        <w:rPr>
          <w:rFonts w:cstheme="minorHAnsi"/>
          <w:sz w:val="20"/>
          <w:szCs w:val="20"/>
        </w:rPr>
        <w:t xml:space="preserve">. </w:t>
      </w:r>
      <w:r w:rsidR="00E002F4" w:rsidRPr="004412AD">
        <w:rPr>
          <w:rFonts w:cstheme="minorHAnsi"/>
          <w:sz w:val="20"/>
          <w:szCs w:val="20"/>
        </w:rPr>
        <w:t xml:space="preserve">ZMPG zastrzega sobie prawo do rozwiązania umowy zawartej </w:t>
      </w:r>
      <w:r w:rsidR="002843E3" w:rsidRPr="004412AD">
        <w:rPr>
          <w:rFonts w:cstheme="minorHAnsi"/>
          <w:sz w:val="20"/>
          <w:szCs w:val="20"/>
        </w:rPr>
        <w:br/>
      </w:r>
      <w:r w:rsidR="00E002F4" w:rsidRPr="004412AD">
        <w:rPr>
          <w:rFonts w:cstheme="minorHAnsi"/>
          <w:sz w:val="20"/>
          <w:szCs w:val="20"/>
        </w:rPr>
        <w:t xml:space="preserve">z </w:t>
      </w:r>
      <w:r w:rsidR="00B91B45">
        <w:rPr>
          <w:rFonts w:cstheme="minorHAnsi"/>
          <w:sz w:val="20"/>
          <w:szCs w:val="20"/>
        </w:rPr>
        <w:t>U</w:t>
      </w:r>
      <w:r w:rsidR="00E002F4" w:rsidRPr="004412AD">
        <w:rPr>
          <w:rFonts w:cstheme="minorHAnsi"/>
          <w:sz w:val="20"/>
          <w:szCs w:val="20"/>
        </w:rPr>
        <w:t xml:space="preserve">sługodawcą bez wypowiedzenia, jeśli </w:t>
      </w:r>
      <w:r w:rsidR="00B91B45">
        <w:rPr>
          <w:rFonts w:cstheme="minorHAnsi"/>
          <w:sz w:val="20"/>
          <w:szCs w:val="20"/>
        </w:rPr>
        <w:t>U</w:t>
      </w:r>
      <w:r w:rsidR="00E002F4" w:rsidRPr="004412AD">
        <w:rPr>
          <w:rFonts w:cstheme="minorHAnsi"/>
          <w:sz w:val="20"/>
          <w:szCs w:val="20"/>
        </w:rPr>
        <w:t xml:space="preserve">sługodawca nie podejmie działań mających na celu dostosowanie swojej działalności do niniejszych minimalnych wymogów w terminie </w:t>
      </w:r>
      <w:r w:rsidR="001C0E1D" w:rsidRPr="004412AD">
        <w:rPr>
          <w:rFonts w:cstheme="minorHAnsi"/>
          <w:sz w:val="20"/>
          <w:szCs w:val="20"/>
        </w:rPr>
        <w:t>30</w:t>
      </w:r>
      <w:r w:rsidR="00E002F4" w:rsidRPr="004412AD">
        <w:rPr>
          <w:rFonts w:cstheme="minorHAnsi"/>
          <w:sz w:val="20"/>
          <w:szCs w:val="20"/>
        </w:rPr>
        <w:t xml:space="preserve"> </w:t>
      </w:r>
      <w:r w:rsidR="001C0E1D" w:rsidRPr="004412AD">
        <w:rPr>
          <w:rFonts w:cstheme="minorHAnsi"/>
          <w:sz w:val="20"/>
          <w:szCs w:val="20"/>
        </w:rPr>
        <w:t>dni</w:t>
      </w:r>
      <w:r w:rsidR="00E002F4" w:rsidRPr="004412AD">
        <w:rPr>
          <w:rFonts w:cstheme="minorHAnsi"/>
          <w:sz w:val="20"/>
          <w:szCs w:val="20"/>
        </w:rPr>
        <w:t xml:space="preserve"> od otrzymania pisemnego żądania od ZMPG</w:t>
      </w:r>
      <w:r w:rsidR="00805D38" w:rsidRPr="004412AD">
        <w:rPr>
          <w:rFonts w:cstheme="minorHAnsi"/>
          <w:sz w:val="20"/>
          <w:szCs w:val="20"/>
        </w:rPr>
        <w:t>.</w:t>
      </w:r>
      <w:r w:rsidR="00E002F4" w:rsidRPr="004412AD">
        <w:rPr>
          <w:rFonts w:cstheme="minorHAnsi"/>
          <w:sz w:val="20"/>
          <w:szCs w:val="20"/>
        </w:rPr>
        <w:t xml:space="preserve"> </w:t>
      </w:r>
    </w:p>
    <w:p w14:paraId="24985E5A" w14:textId="77777777" w:rsidR="00E002F4" w:rsidRPr="004412AD" w:rsidRDefault="00E002F4" w:rsidP="00E545B9">
      <w:pPr>
        <w:pStyle w:val="Akapitzlist"/>
        <w:ind w:left="360"/>
        <w:rPr>
          <w:rFonts w:cstheme="minorHAnsi"/>
          <w:sz w:val="20"/>
          <w:szCs w:val="20"/>
        </w:rPr>
      </w:pPr>
    </w:p>
    <w:p w14:paraId="501C9BFB" w14:textId="6087EC7C" w:rsidR="00E002F4" w:rsidRPr="004412AD" w:rsidRDefault="00E002F4" w:rsidP="008201B4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4412AD">
        <w:rPr>
          <w:rFonts w:cstheme="minorHAnsi"/>
          <w:sz w:val="20"/>
          <w:szCs w:val="20"/>
        </w:rPr>
        <w:t xml:space="preserve">ZMPG zastrzega sobie prawo do rozwiązania umowy zawartej z </w:t>
      </w:r>
      <w:r w:rsidR="00B91B45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 xml:space="preserve">sługodawcą bez wypowiedzenia, jeśli </w:t>
      </w:r>
      <w:r w:rsidR="00B91B45">
        <w:rPr>
          <w:rFonts w:cstheme="minorHAnsi"/>
          <w:sz w:val="20"/>
          <w:szCs w:val="20"/>
        </w:rPr>
        <w:t>U</w:t>
      </w:r>
      <w:r w:rsidRPr="004412AD">
        <w:rPr>
          <w:rFonts w:cstheme="minorHAnsi"/>
          <w:sz w:val="20"/>
          <w:szCs w:val="20"/>
        </w:rPr>
        <w:t xml:space="preserve">sługodawca umyślnie lub w wyniku rażącego niedbalstwa lub </w:t>
      </w:r>
      <w:r w:rsidR="00D11BDF" w:rsidRPr="004412AD">
        <w:rPr>
          <w:rFonts w:cstheme="minorHAnsi"/>
          <w:sz w:val="20"/>
          <w:szCs w:val="20"/>
        </w:rPr>
        <w:t xml:space="preserve">wielokrotnie narusza warunki </w:t>
      </w:r>
      <w:r w:rsidR="002843E3" w:rsidRPr="004412AD">
        <w:rPr>
          <w:rFonts w:cstheme="minorHAnsi"/>
          <w:sz w:val="20"/>
          <w:szCs w:val="20"/>
        </w:rPr>
        <w:br/>
      </w:r>
      <w:r w:rsidR="00D11BDF" w:rsidRPr="004412AD">
        <w:rPr>
          <w:rFonts w:cstheme="minorHAnsi"/>
          <w:sz w:val="20"/>
          <w:szCs w:val="20"/>
        </w:rPr>
        <w:t xml:space="preserve">i obowiązki określone w niniejszych minimalnych wymogach. </w:t>
      </w:r>
    </w:p>
    <w:p w14:paraId="7A787BCF" w14:textId="77777777" w:rsidR="00D11BDF" w:rsidRPr="004412AD" w:rsidRDefault="00D11BDF" w:rsidP="00700D26">
      <w:pPr>
        <w:pStyle w:val="Akapitzlist"/>
        <w:rPr>
          <w:rFonts w:cstheme="minorHAnsi"/>
          <w:sz w:val="20"/>
          <w:szCs w:val="20"/>
        </w:rPr>
      </w:pPr>
    </w:p>
    <w:p w14:paraId="1D8ED2C6" w14:textId="77777777" w:rsidR="004C18C9" w:rsidRPr="004412AD" w:rsidRDefault="004C18C9" w:rsidP="00930D71">
      <w:pPr>
        <w:jc w:val="both"/>
        <w:rPr>
          <w:rFonts w:cstheme="minorHAnsi"/>
          <w:sz w:val="20"/>
          <w:szCs w:val="20"/>
        </w:rPr>
      </w:pPr>
    </w:p>
    <w:p w14:paraId="7E5560C0" w14:textId="30DA0445" w:rsidR="000970B3" w:rsidRPr="004412AD" w:rsidRDefault="000970B3" w:rsidP="00700D26">
      <w:pPr>
        <w:jc w:val="both"/>
        <w:rPr>
          <w:rFonts w:cstheme="minorHAnsi"/>
          <w:sz w:val="20"/>
          <w:szCs w:val="20"/>
        </w:rPr>
      </w:pPr>
    </w:p>
    <w:sectPr w:rsidR="000970B3" w:rsidRPr="004412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D1330" w14:textId="77777777" w:rsidR="00AE6A82" w:rsidRDefault="00AE6A82" w:rsidP="006A3C7D">
      <w:pPr>
        <w:spacing w:after="0" w:line="240" w:lineRule="auto"/>
      </w:pPr>
      <w:r>
        <w:separator/>
      </w:r>
    </w:p>
  </w:endnote>
  <w:endnote w:type="continuationSeparator" w:id="0">
    <w:p w14:paraId="6ED43014" w14:textId="77777777" w:rsidR="00AE6A82" w:rsidRDefault="00AE6A82" w:rsidP="006A3C7D">
      <w:pPr>
        <w:spacing w:after="0" w:line="240" w:lineRule="auto"/>
      </w:pPr>
      <w:r>
        <w:continuationSeparator/>
      </w:r>
    </w:p>
  </w:endnote>
  <w:endnote w:type="continuationNotice" w:id="1">
    <w:p w14:paraId="47BBCF6A" w14:textId="77777777" w:rsidR="00AE6A82" w:rsidRDefault="00AE6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08779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882931" w14:textId="4EFA39C1" w:rsidR="006A3C7D" w:rsidRDefault="006A3C7D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1D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1D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8CCB5" w14:textId="77777777" w:rsidR="006A3C7D" w:rsidRDefault="006A3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EF63" w14:textId="77777777" w:rsidR="00AE6A82" w:rsidRDefault="00AE6A82" w:rsidP="006A3C7D">
      <w:pPr>
        <w:spacing w:after="0" w:line="240" w:lineRule="auto"/>
      </w:pPr>
      <w:r>
        <w:separator/>
      </w:r>
    </w:p>
  </w:footnote>
  <w:footnote w:type="continuationSeparator" w:id="0">
    <w:p w14:paraId="10591605" w14:textId="77777777" w:rsidR="00AE6A82" w:rsidRDefault="00AE6A82" w:rsidP="006A3C7D">
      <w:pPr>
        <w:spacing w:after="0" w:line="240" w:lineRule="auto"/>
      </w:pPr>
      <w:r>
        <w:continuationSeparator/>
      </w:r>
    </w:p>
  </w:footnote>
  <w:footnote w:type="continuationNotice" w:id="1">
    <w:p w14:paraId="7664D793" w14:textId="77777777" w:rsidR="00AE6A82" w:rsidRDefault="00AE6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B3EC9" w14:textId="77777777" w:rsidR="00A443F0" w:rsidRDefault="00A443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948A9"/>
    <w:multiLevelType w:val="hybridMultilevel"/>
    <w:tmpl w:val="4D66C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2706"/>
    <w:multiLevelType w:val="hybridMultilevel"/>
    <w:tmpl w:val="9BB29A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042E"/>
    <w:multiLevelType w:val="hybridMultilevel"/>
    <w:tmpl w:val="146E3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A6DB7"/>
    <w:multiLevelType w:val="hybridMultilevel"/>
    <w:tmpl w:val="9D1C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E7597"/>
    <w:multiLevelType w:val="multilevel"/>
    <w:tmpl w:val="AD505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21" w:hanging="511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ind w:left="1876" w:hanging="402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8FF56DE"/>
    <w:multiLevelType w:val="hybridMultilevel"/>
    <w:tmpl w:val="CBA290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  <w:strike w:val="0"/>
        <w:color w:val="auto"/>
        <w:sz w:val="20"/>
        <w:szCs w:val="20"/>
      </w:rPr>
    </w:lvl>
    <w:lvl w:ilvl="1" w:tplc="7226BF04">
      <w:start w:val="1"/>
      <w:numFmt w:val="lowerLetter"/>
      <w:lvlText w:val="%2)"/>
      <w:lvlJc w:val="left"/>
      <w:pPr>
        <w:ind w:left="1221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F420A5D"/>
    <w:multiLevelType w:val="hybridMultilevel"/>
    <w:tmpl w:val="A89E27A6"/>
    <w:lvl w:ilvl="0" w:tplc="462EB7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2462A"/>
    <w:multiLevelType w:val="hybridMultilevel"/>
    <w:tmpl w:val="02E2E88A"/>
    <w:lvl w:ilvl="0" w:tplc="A52E4082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244CB1"/>
    <w:multiLevelType w:val="hybridMultilevel"/>
    <w:tmpl w:val="E698D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482FE8"/>
    <w:multiLevelType w:val="hybridMultilevel"/>
    <w:tmpl w:val="CFC698DE"/>
    <w:lvl w:ilvl="0" w:tplc="2424C8A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E1AE9"/>
    <w:multiLevelType w:val="hybridMultilevel"/>
    <w:tmpl w:val="1B7A6EE0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EF45654"/>
    <w:multiLevelType w:val="hybridMultilevel"/>
    <w:tmpl w:val="3066288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49"/>
    <w:rsid w:val="00001E16"/>
    <w:rsid w:val="00002F9E"/>
    <w:rsid w:val="00006156"/>
    <w:rsid w:val="00016455"/>
    <w:rsid w:val="00017AFB"/>
    <w:rsid w:val="000457DA"/>
    <w:rsid w:val="00052309"/>
    <w:rsid w:val="00075DCC"/>
    <w:rsid w:val="00081AD1"/>
    <w:rsid w:val="000829F9"/>
    <w:rsid w:val="000863D5"/>
    <w:rsid w:val="0008643E"/>
    <w:rsid w:val="000970B3"/>
    <w:rsid w:val="000A266D"/>
    <w:rsid w:val="000A3AE1"/>
    <w:rsid w:val="000B4FF9"/>
    <w:rsid w:val="00124E15"/>
    <w:rsid w:val="0012551E"/>
    <w:rsid w:val="001337E1"/>
    <w:rsid w:val="00144E8E"/>
    <w:rsid w:val="001506CF"/>
    <w:rsid w:val="001633E5"/>
    <w:rsid w:val="00180410"/>
    <w:rsid w:val="001B5AD7"/>
    <w:rsid w:val="001C0E1D"/>
    <w:rsid w:val="001C4FA7"/>
    <w:rsid w:val="001C7269"/>
    <w:rsid w:val="00216E91"/>
    <w:rsid w:val="00227A1D"/>
    <w:rsid w:val="00250DFF"/>
    <w:rsid w:val="0026775E"/>
    <w:rsid w:val="002706F1"/>
    <w:rsid w:val="00271367"/>
    <w:rsid w:val="00277AFA"/>
    <w:rsid w:val="002843E3"/>
    <w:rsid w:val="00294DA8"/>
    <w:rsid w:val="002A4357"/>
    <w:rsid w:val="002A52C8"/>
    <w:rsid w:val="002D2159"/>
    <w:rsid w:val="002E4223"/>
    <w:rsid w:val="00303E0E"/>
    <w:rsid w:val="003056E0"/>
    <w:rsid w:val="003213E7"/>
    <w:rsid w:val="0032631A"/>
    <w:rsid w:val="0033791A"/>
    <w:rsid w:val="00342022"/>
    <w:rsid w:val="0034418F"/>
    <w:rsid w:val="00357323"/>
    <w:rsid w:val="00357558"/>
    <w:rsid w:val="003578E8"/>
    <w:rsid w:val="003727C8"/>
    <w:rsid w:val="00374B49"/>
    <w:rsid w:val="00386B05"/>
    <w:rsid w:val="00387F3A"/>
    <w:rsid w:val="003A0E6B"/>
    <w:rsid w:val="003C7AAF"/>
    <w:rsid w:val="003D19AF"/>
    <w:rsid w:val="003D4203"/>
    <w:rsid w:val="003E5C09"/>
    <w:rsid w:val="00417E20"/>
    <w:rsid w:val="00421513"/>
    <w:rsid w:val="00425016"/>
    <w:rsid w:val="004262F4"/>
    <w:rsid w:val="00436BE5"/>
    <w:rsid w:val="004412AD"/>
    <w:rsid w:val="004733A8"/>
    <w:rsid w:val="0047390E"/>
    <w:rsid w:val="004774F5"/>
    <w:rsid w:val="00486C11"/>
    <w:rsid w:val="004942D3"/>
    <w:rsid w:val="004A74E7"/>
    <w:rsid w:val="004B4877"/>
    <w:rsid w:val="004B6041"/>
    <w:rsid w:val="004B645E"/>
    <w:rsid w:val="004C18C9"/>
    <w:rsid w:val="004C2A07"/>
    <w:rsid w:val="004D43C3"/>
    <w:rsid w:val="004E6195"/>
    <w:rsid w:val="004F6230"/>
    <w:rsid w:val="005119A9"/>
    <w:rsid w:val="00523558"/>
    <w:rsid w:val="00534498"/>
    <w:rsid w:val="00556CEC"/>
    <w:rsid w:val="00557892"/>
    <w:rsid w:val="00567AA5"/>
    <w:rsid w:val="005A1273"/>
    <w:rsid w:val="005A6371"/>
    <w:rsid w:val="005C02FD"/>
    <w:rsid w:val="005D2A42"/>
    <w:rsid w:val="005E11D6"/>
    <w:rsid w:val="005E2031"/>
    <w:rsid w:val="005E28A5"/>
    <w:rsid w:val="005F606A"/>
    <w:rsid w:val="005F6E43"/>
    <w:rsid w:val="00604B33"/>
    <w:rsid w:val="0061275E"/>
    <w:rsid w:val="006167C3"/>
    <w:rsid w:val="006171D0"/>
    <w:rsid w:val="006257D2"/>
    <w:rsid w:val="006275A1"/>
    <w:rsid w:val="006335CD"/>
    <w:rsid w:val="00635BC8"/>
    <w:rsid w:val="0064041C"/>
    <w:rsid w:val="006444C4"/>
    <w:rsid w:val="00651F99"/>
    <w:rsid w:val="0065220A"/>
    <w:rsid w:val="00663B5E"/>
    <w:rsid w:val="00686A54"/>
    <w:rsid w:val="00697FD2"/>
    <w:rsid w:val="006A3C7D"/>
    <w:rsid w:val="006A6997"/>
    <w:rsid w:val="006C68FF"/>
    <w:rsid w:val="006D534C"/>
    <w:rsid w:val="006D5D73"/>
    <w:rsid w:val="006E05F4"/>
    <w:rsid w:val="006E20B8"/>
    <w:rsid w:val="006E7AEA"/>
    <w:rsid w:val="00700D26"/>
    <w:rsid w:val="00734637"/>
    <w:rsid w:val="00737FF8"/>
    <w:rsid w:val="00766BCD"/>
    <w:rsid w:val="00783C94"/>
    <w:rsid w:val="007B038D"/>
    <w:rsid w:val="007B3C95"/>
    <w:rsid w:val="007B4458"/>
    <w:rsid w:val="007B5922"/>
    <w:rsid w:val="007B5A64"/>
    <w:rsid w:val="007B7633"/>
    <w:rsid w:val="007C550B"/>
    <w:rsid w:val="007E4494"/>
    <w:rsid w:val="007F6572"/>
    <w:rsid w:val="008001C9"/>
    <w:rsid w:val="00800D39"/>
    <w:rsid w:val="00805D38"/>
    <w:rsid w:val="008201B4"/>
    <w:rsid w:val="0082326F"/>
    <w:rsid w:val="008234C3"/>
    <w:rsid w:val="00826D6B"/>
    <w:rsid w:val="0083280D"/>
    <w:rsid w:val="00844F11"/>
    <w:rsid w:val="00855EB9"/>
    <w:rsid w:val="00881D3F"/>
    <w:rsid w:val="00892AF3"/>
    <w:rsid w:val="00893493"/>
    <w:rsid w:val="008947CC"/>
    <w:rsid w:val="008A0C4B"/>
    <w:rsid w:val="008B2786"/>
    <w:rsid w:val="008B33B0"/>
    <w:rsid w:val="008B5591"/>
    <w:rsid w:val="008C27CA"/>
    <w:rsid w:val="008C6234"/>
    <w:rsid w:val="008E0EF5"/>
    <w:rsid w:val="008F53D1"/>
    <w:rsid w:val="00925B51"/>
    <w:rsid w:val="00930D71"/>
    <w:rsid w:val="00941AAB"/>
    <w:rsid w:val="009440CC"/>
    <w:rsid w:val="0094601B"/>
    <w:rsid w:val="00960EA0"/>
    <w:rsid w:val="00963632"/>
    <w:rsid w:val="00963B24"/>
    <w:rsid w:val="00993F34"/>
    <w:rsid w:val="00995168"/>
    <w:rsid w:val="009B1D3A"/>
    <w:rsid w:val="009F1ACD"/>
    <w:rsid w:val="00A1757A"/>
    <w:rsid w:val="00A20ABD"/>
    <w:rsid w:val="00A251A2"/>
    <w:rsid w:val="00A44015"/>
    <w:rsid w:val="00A443F0"/>
    <w:rsid w:val="00A552D4"/>
    <w:rsid w:val="00A61567"/>
    <w:rsid w:val="00A71CF2"/>
    <w:rsid w:val="00A77A85"/>
    <w:rsid w:val="00A97146"/>
    <w:rsid w:val="00AB202B"/>
    <w:rsid w:val="00AB2876"/>
    <w:rsid w:val="00AC1159"/>
    <w:rsid w:val="00AD7455"/>
    <w:rsid w:val="00AE4607"/>
    <w:rsid w:val="00AE6A82"/>
    <w:rsid w:val="00AF3E15"/>
    <w:rsid w:val="00B217C2"/>
    <w:rsid w:val="00B376FC"/>
    <w:rsid w:val="00B414CF"/>
    <w:rsid w:val="00B52A32"/>
    <w:rsid w:val="00B55336"/>
    <w:rsid w:val="00B87467"/>
    <w:rsid w:val="00B91B45"/>
    <w:rsid w:val="00B93AB3"/>
    <w:rsid w:val="00BD0157"/>
    <w:rsid w:val="00BE1888"/>
    <w:rsid w:val="00BF268D"/>
    <w:rsid w:val="00C1552C"/>
    <w:rsid w:val="00C47B12"/>
    <w:rsid w:val="00C7661D"/>
    <w:rsid w:val="00C92D8C"/>
    <w:rsid w:val="00CA0321"/>
    <w:rsid w:val="00CA05A9"/>
    <w:rsid w:val="00CB10F6"/>
    <w:rsid w:val="00CB7EAC"/>
    <w:rsid w:val="00CD6822"/>
    <w:rsid w:val="00CE6882"/>
    <w:rsid w:val="00CF0D93"/>
    <w:rsid w:val="00CF384A"/>
    <w:rsid w:val="00D11B7A"/>
    <w:rsid w:val="00D11BDF"/>
    <w:rsid w:val="00D16333"/>
    <w:rsid w:val="00D23D6F"/>
    <w:rsid w:val="00D24AE6"/>
    <w:rsid w:val="00D26F9E"/>
    <w:rsid w:val="00D36F17"/>
    <w:rsid w:val="00D61D41"/>
    <w:rsid w:val="00D718D0"/>
    <w:rsid w:val="00D86606"/>
    <w:rsid w:val="00DB7259"/>
    <w:rsid w:val="00DC0E3D"/>
    <w:rsid w:val="00DD134D"/>
    <w:rsid w:val="00DF4FC1"/>
    <w:rsid w:val="00DF52E6"/>
    <w:rsid w:val="00E002F4"/>
    <w:rsid w:val="00E065CF"/>
    <w:rsid w:val="00E12CAD"/>
    <w:rsid w:val="00E167CA"/>
    <w:rsid w:val="00E25B9B"/>
    <w:rsid w:val="00E36A9F"/>
    <w:rsid w:val="00E545B9"/>
    <w:rsid w:val="00EA23A6"/>
    <w:rsid w:val="00EA65DC"/>
    <w:rsid w:val="00ED385D"/>
    <w:rsid w:val="00EE01F0"/>
    <w:rsid w:val="00EF0E6A"/>
    <w:rsid w:val="00F157B1"/>
    <w:rsid w:val="00F21F6E"/>
    <w:rsid w:val="00F30409"/>
    <w:rsid w:val="00F51DDF"/>
    <w:rsid w:val="00F60C50"/>
    <w:rsid w:val="00F877CA"/>
    <w:rsid w:val="00F94B5B"/>
    <w:rsid w:val="00FA4BCE"/>
    <w:rsid w:val="00FB0AC4"/>
    <w:rsid w:val="00FB22AF"/>
    <w:rsid w:val="00FB3CCD"/>
    <w:rsid w:val="00FC4BB6"/>
    <w:rsid w:val="00FD2221"/>
    <w:rsid w:val="00FD3061"/>
    <w:rsid w:val="00FF2095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B7FE"/>
  <w15:chartTrackingRefBased/>
  <w15:docId w15:val="{0AEA54C2-A934-4987-A39D-E5423C9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ppkt,Wypunktowanie,Akapit z listą1,Obiekt,List Paragraph1,BulletC,CW_Lista,Podsis rysunku"/>
    <w:basedOn w:val="Normalny"/>
    <w:link w:val="AkapitzlistZnak"/>
    <w:uiPriority w:val="34"/>
    <w:qFormat/>
    <w:rsid w:val="00374B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4B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B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B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B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B4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ist Paragraph Znak,ppkt Znak,Wypunktowanie Znak,Akapit z listą1 Znak,Obiekt Znak,List Paragraph1 Znak,BulletC Znak,CW_Lista Znak,Podsis rysunku Znak"/>
    <w:basedOn w:val="Domylnaczcionkaakapitu"/>
    <w:link w:val="Akapitzlist"/>
    <w:uiPriority w:val="34"/>
    <w:locked/>
    <w:rsid w:val="00BD0157"/>
  </w:style>
  <w:style w:type="paragraph" w:styleId="Nagwek">
    <w:name w:val="header"/>
    <w:basedOn w:val="Normalny"/>
    <w:link w:val="NagwekZnak"/>
    <w:uiPriority w:val="99"/>
    <w:unhideWhenUsed/>
    <w:rsid w:val="006A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C7D"/>
  </w:style>
  <w:style w:type="paragraph" w:styleId="Stopka">
    <w:name w:val="footer"/>
    <w:basedOn w:val="Normalny"/>
    <w:link w:val="StopkaZnak"/>
    <w:uiPriority w:val="99"/>
    <w:unhideWhenUsed/>
    <w:rsid w:val="006A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C7D"/>
  </w:style>
  <w:style w:type="paragraph" w:styleId="Poprawka">
    <w:name w:val="Revision"/>
    <w:hidden/>
    <w:uiPriority w:val="99"/>
    <w:semiHidden/>
    <w:rsid w:val="00045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2BA3-302A-4216-A6EB-DB460961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Zarzycki Tomasz</dc:creator>
  <cp:keywords/>
  <dc:description/>
  <cp:lastModifiedBy>Zarzycki Tomasz</cp:lastModifiedBy>
  <cp:revision>11</cp:revision>
  <cp:lastPrinted>2021-04-28T07:04:00Z</cp:lastPrinted>
  <dcterms:created xsi:type="dcterms:W3CDTF">2021-05-17T07:39:00Z</dcterms:created>
  <dcterms:modified xsi:type="dcterms:W3CDTF">2021-05-28T09:47:00Z</dcterms:modified>
</cp:coreProperties>
</file>